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37456">
      <w:pPr>
        <w:jc w:val="center"/>
        <w:rPr>
          <w:rFonts w:ascii="Century Gothic" w:hAnsi="Century Gothic" w:eastAsia="Century Gothic" w:cs="Century Gothic"/>
          <w:b/>
          <w:bCs/>
          <w:sz w:val="24"/>
          <w:szCs w:val="24"/>
        </w:rPr>
      </w:pPr>
      <w:r>
        <w:rPr>
          <w:rFonts w:ascii="Century Gothic" w:hAnsi="Century Gothic" w:eastAsia="Century Gothic" w:cs="Century Gothic"/>
          <w:b/>
          <w:bCs/>
          <w:sz w:val="24"/>
          <w:szCs w:val="24"/>
        </w:rPr>
        <w:t>EMPOWERING MUSLIM EDUCATORS: ADDRESSING TRAINING GAPS AND LEADERSHIP DEVELOPMENT IN ISLAMIC SCHOOLS</w:t>
      </w:r>
    </w:p>
    <w:p w14:paraId="31730F8A">
      <w:pPr>
        <w:spacing w:line="364" w:lineRule="auto"/>
        <w:rPr>
          <w:sz w:val="24"/>
          <w:szCs w:val="24"/>
        </w:rPr>
      </w:pPr>
    </w:p>
    <w:p w14:paraId="2627E432">
      <w:pPr>
        <w:spacing w:line="236" w:lineRule="auto"/>
        <w:jc w:val="center"/>
        <w:rPr>
          <w:rFonts w:ascii="Arial" w:hAnsi="Arial" w:eastAsia="Arial" w:cs="Arial"/>
          <w:b/>
          <w:bCs/>
          <w:sz w:val="24"/>
          <w:szCs w:val="24"/>
        </w:rPr>
      </w:pPr>
      <w:r>
        <w:rPr>
          <w:rFonts w:ascii="Arial" w:hAnsi="Arial" w:eastAsia="Arial" w:cs="Arial"/>
          <w:b/>
          <w:bCs/>
          <w:sz w:val="24"/>
          <w:szCs w:val="24"/>
        </w:rPr>
        <w:t>JESSIE M. RAMOS</w:t>
      </w:r>
    </w:p>
    <w:p w14:paraId="636A1B71">
      <w:pPr>
        <w:spacing w:line="236" w:lineRule="auto"/>
        <w:jc w:val="center"/>
        <w:rPr>
          <w:rFonts w:ascii="Arial" w:hAnsi="Arial" w:eastAsia="Arial" w:cs="Arial"/>
          <w:b/>
          <w:bCs/>
          <w:sz w:val="24"/>
          <w:szCs w:val="24"/>
        </w:rPr>
      </w:pPr>
      <w:r>
        <w:rPr>
          <w:rFonts w:ascii="Arial" w:hAnsi="Arial" w:eastAsia="Arial" w:cs="Arial"/>
          <w:b/>
          <w:bCs/>
          <w:sz w:val="24"/>
          <w:szCs w:val="24"/>
        </w:rPr>
        <w:t>GEMMA N. KINTANAR, EdD, FRIEdr</w:t>
      </w:r>
    </w:p>
    <w:p w14:paraId="78ABB09D">
      <w:pPr>
        <w:spacing w:line="236" w:lineRule="auto"/>
        <w:jc w:val="center"/>
        <w:rPr>
          <w:rFonts w:ascii="Arial" w:hAnsi="Arial" w:eastAsia="Arial" w:cs="Arial"/>
          <w:sz w:val="24"/>
          <w:szCs w:val="24"/>
        </w:rPr>
      </w:pPr>
      <w:r>
        <w:rPr>
          <w:rFonts w:ascii="Arial" w:hAnsi="Arial" w:eastAsia="Arial" w:cs="Arial"/>
          <w:sz w:val="24"/>
          <w:szCs w:val="24"/>
        </w:rPr>
        <w:t xml:space="preserve">Central Mindanao Colleges, Kidapawan City, Philippines. </w:t>
      </w:r>
    </w:p>
    <w:p w14:paraId="6DA36CD2">
      <w:pPr>
        <w:spacing w:line="236" w:lineRule="auto"/>
        <w:jc w:val="center"/>
        <w:rPr>
          <w:rFonts w:hint="default" w:ascii="Arial" w:hAnsi="Arial" w:eastAsia="Arial" w:cs="Arial"/>
          <w:sz w:val="24"/>
          <w:szCs w:val="24"/>
          <w:lang w:val="en-US"/>
        </w:rPr>
      </w:pPr>
      <w:r>
        <w:rPr>
          <w:rFonts w:ascii="Arial" w:hAnsi="Arial" w:eastAsia="Arial" w:cs="Arial"/>
          <w:sz w:val="24"/>
          <w:szCs w:val="24"/>
        </w:rPr>
        <w:t>Corresponding email:</w:t>
      </w:r>
      <w:r>
        <w:t xml:space="preserve"> </w:t>
      </w:r>
      <w:r>
        <w:rPr>
          <w:color w:val="0000FF"/>
          <w:u w:val="single"/>
        </w:rPr>
        <w:t xml:space="preserve"> </w:t>
      </w:r>
      <w:r>
        <w:rPr>
          <w:rFonts w:hint="default"/>
          <w:color w:val="0000FF"/>
          <w:u w:val="single"/>
          <w:lang w:val="en-US"/>
        </w:rPr>
        <w:t>jeramos.cmc.edu.ph</w:t>
      </w:r>
    </w:p>
    <w:p w14:paraId="3192A2CF">
      <w:pPr>
        <w:spacing w:line="200" w:lineRule="auto"/>
        <w:rPr>
          <w:sz w:val="24"/>
          <w:szCs w:val="24"/>
        </w:rPr>
      </w:pPr>
    </w:p>
    <w:p w14:paraId="617CB60A">
      <w:pPr>
        <w:spacing w:line="355" w:lineRule="auto"/>
        <w:rPr>
          <w:sz w:val="24"/>
          <w:szCs w:val="24"/>
        </w:rPr>
      </w:pPr>
    </w:p>
    <w:p w14:paraId="08608B7B">
      <w:pPr>
        <w:jc w:val="center"/>
        <w:rPr>
          <w:sz w:val="20"/>
          <w:szCs w:val="20"/>
        </w:rPr>
      </w:pPr>
      <w:r>
        <w:rPr>
          <w:rFonts w:ascii="Arial" w:hAnsi="Arial" w:eastAsia="Arial" w:cs="Arial"/>
          <w:b/>
          <w:bCs/>
          <w:sz w:val="24"/>
          <w:szCs w:val="24"/>
        </w:rPr>
        <w:t>ABSTRACT</w:t>
      </w:r>
    </w:p>
    <w:p w14:paraId="7AD3AC18">
      <w:pPr>
        <w:spacing w:line="239" w:lineRule="auto"/>
        <w:jc w:val="both"/>
        <w:rPr>
          <w:rFonts w:ascii="Arial" w:hAnsi="Arial" w:eastAsia="Arial" w:cs="Arial"/>
          <w:sz w:val="24"/>
          <w:szCs w:val="24"/>
        </w:rPr>
      </w:pPr>
    </w:p>
    <w:p w14:paraId="02E43711">
      <w:pPr>
        <w:pStyle w:val="26"/>
        <w:ind w:firstLine="720"/>
        <w:jc w:val="both"/>
        <w:rPr>
          <w:rFonts w:ascii="Arial" w:hAnsi="Arial" w:cs="Arial"/>
        </w:rPr>
      </w:pPr>
      <w:r>
        <w:rPr>
          <w:rFonts w:ascii="Arial" w:hAnsi="Arial" w:cs="Arial"/>
        </w:rPr>
        <w:t xml:space="preserve">Empowering Muslim educators </w:t>
      </w:r>
      <w:r>
        <w:rPr>
          <w:rFonts w:hint="default" w:ascii="Arial" w:hAnsi="Arial" w:cs="Arial"/>
          <w:lang w:val="en-US"/>
        </w:rPr>
        <w:t>wa</w:t>
      </w:r>
      <w:r>
        <w:rPr>
          <w:rFonts w:ascii="Arial" w:hAnsi="Arial" w:cs="Arial"/>
        </w:rPr>
        <w:t>s crucial to enhancing the quality and effectiveness of Islamic education, particularly in local contexts with limited professional development opportunities. This study explore</w:t>
      </w:r>
      <w:r>
        <w:rPr>
          <w:rFonts w:hint="default" w:ascii="Arial" w:hAnsi="Arial" w:cs="Arial"/>
          <w:lang w:val="en-US"/>
        </w:rPr>
        <w:t>d</w:t>
      </w:r>
      <w:r>
        <w:rPr>
          <w:rFonts w:ascii="Arial" w:hAnsi="Arial" w:cs="Arial"/>
        </w:rPr>
        <w:t xml:space="preserve"> training gaps and leadership development experiences of Muslim educators in Islamic schools in Kalamansig municipality. Using a qualitative approach, the research investigate</w:t>
      </w:r>
      <w:r>
        <w:rPr>
          <w:rFonts w:hint="default" w:ascii="Arial" w:hAnsi="Arial" w:cs="Arial"/>
          <w:lang w:val="en-US"/>
        </w:rPr>
        <w:t>d</w:t>
      </w:r>
      <w:r>
        <w:rPr>
          <w:rFonts w:ascii="Arial" w:hAnsi="Arial" w:cs="Arial"/>
        </w:rPr>
        <w:t xml:space="preserve"> educators’ lived experiences, challenges in professional development, leadership opportunities, and strategies perceived as effective for empowerment. Preliminary findings suggest</w:t>
      </w:r>
      <w:r>
        <w:rPr>
          <w:rFonts w:hint="default" w:ascii="Arial" w:hAnsi="Arial" w:cs="Arial"/>
          <w:lang w:val="en-US"/>
        </w:rPr>
        <w:t>ed</w:t>
      </w:r>
      <w:r>
        <w:rPr>
          <w:rFonts w:ascii="Arial" w:hAnsi="Arial" w:cs="Arial"/>
        </w:rPr>
        <w:t xml:space="preserve"> that educators face constraints such as limited institutional support, inadequate training programs, and minimal leadership mentoring opportunities. These challenges </w:t>
      </w:r>
      <w:r>
        <w:rPr>
          <w:rFonts w:hint="default" w:ascii="Arial" w:hAnsi="Arial" w:cs="Arial"/>
          <w:lang w:val="en-US"/>
        </w:rPr>
        <w:t xml:space="preserve">was </w:t>
      </w:r>
      <w:r>
        <w:rPr>
          <w:rFonts w:ascii="Arial" w:hAnsi="Arial" w:cs="Arial"/>
        </w:rPr>
        <w:t>hinder the implementation of innovative pedagogical approaches and the exercise of leadership aligned with Islamic principles. The study underscore</w:t>
      </w:r>
      <w:r>
        <w:rPr>
          <w:rFonts w:hint="default" w:ascii="Arial" w:hAnsi="Arial" w:cs="Arial"/>
          <w:lang w:val="en-US"/>
        </w:rPr>
        <w:t>d</w:t>
      </w:r>
      <w:r>
        <w:rPr>
          <w:rFonts w:ascii="Arial" w:hAnsi="Arial" w:cs="Arial"/>
        </w:rPr>
        <w:t xml:space="preserve"> the need for sustained, culturally responsive professional development and values-based leadership training to empower educators. Recommendations include</w:t>
      </w:r>
      <w:r>
        <w:rPr>
          <w:rFonts w:hint="default" w:ascii="Arial" w:hAnsi="Arial" w:cs="Arial"/>
          <w:lang w:val="en-US"/>
        </w:rPr>
        <w:t>d</w:t>
      </w:r>
      <w:r>
        <w:rPr>
          <w:rFonts w:ascii="Arial" w:hAnsi="Arial" w:cs="Arial"/>
        </w:rPr>
        <w:t xml:space="preserve"> context-specific training programs, strengthened administrative support, and ongoing leadership initiatives to enhance educator competence and institutional effectiveness. Empowering Muslim educators ultimately contribute</w:t>
      </w:r>
      <w:r>
        <w:rPr>
          <w:rFonts w:hint="default" w:ascii="Arial" w:hAnsi="Arial" w:cs="Arial"/>
          <w:lang w:val="en-US"/>
        </w:rPr>
        <w:t>d</w:t>
      </w:r>
      <w:r>
        <w:rPr>
          <w:rFonts w:ascii="Arial" w:hAnsi="Arial" w:cs="Arial"/>
        </w:rPr>
        <w:t xml:space="preserve"> to producing learners who are academically competent, morally grounded, and socially responsible.</w:t>
      </w:r>
    </w:p>
    <w:p w14:paraId="0821448C">
      <w:pPr>
        <w:pStyle w:val="10"/>
        <w:jc w:val="both"/>
        <w:rPr>
          <w:rFonts w:ascii="Arial" w:hAnsi="Arial" w:cs="Arial"/>
        </w:rPr>
      </w:pPr>
      <w:r>
        <w:rPr>
          <w:rFonts w:ascii="Arial" w:hAnsi="Arial" w:cs="Arial"/>
          <w:b/>
          <w:bCs/>
        </w:rPr>
        <w:t>Keywords:</w:t>
      </w:r>
      <w:r>
        <w:rPr>
          <w:rFonts w:ascii="Arial" w:hAnsi="Arial" w:cs="Arial"/>
        </w:rPr>
        <w:t xml:space="preserve"> Muslim educators; Islamic schools; professional development; training gaps; leadership development; educator empowerment; Islamic education.</w:t>
      </w:r>
    </w:p>
    <w:p w14:paraId="121E7F96">
      <w:pPr>
        <w:tabs>
          <w:tab w:val="left" w:pos="1400"/>
        </w:tabs>
        <w:spacing w:line="235" w:lineRule="auto"/>
        <w:ind w:left="1440" w:hanging="1417"/>
        <w:jc w:val="both"/>
        <w:rPr>
          <w:sz w:val="24"/>
          <w:szCs w:val="24"/>
        </w:rPr>
      </w:pPr>
    </w:p>
    <w:p w14:paraId="37114BF3">
      <w:pPr>
        <w:tabs>
          <w:tab w:val="left" w:pos="1400"/>
        </w:tabs>
        <w:spacing w:line="235" w:lineRule="auto"/>
        <w:ind w:left="1440" w:hanging="1417"/>
        <w:jc w:val="both"/>
        <w:rPr>
          <w:sz w:val="24"/>
          <w:szCs w:val="24"/>
        </w:rPr>
      </w:pPr>
    </w:p>
    <w:p w14:paraId="2D9B746F">
      <w:pPr>
        <w:jc w:val="center"/>
        <w:rPr>
          <w:sz w:val="20"/>
          <w:szCs w:val="20"/>
        </w:rPr>
      </w:pPr>
      <w:r>
        <w:rPr>
          <w:rFonts w:ascii="Arial" w:hAnsi="Arial" w:eastAsia="Arial" w:cs="Arial"/>
          <w:b/>
          <w:bCs/>
          <w:sz w:val="24"/>
          <w:szCs w:val="24"/>
        </w:rPr>
        <w:t>INTRODUCTION</w:t>
      </w:r>
    </w:p>
    <w:p w14:paraId="3FCE80EB">
      <w:pPr>
        <w:spacing w:line="14" w:lineRule="auto"/>
        <w:rPr>
          <w:sz w:val="24"/>
          <w:szCs w:val="24"/>
        </w:rPr>
      </w:pPr>
    </w:p>
    <w:p w14:paraId="56B3C2C3">
      <w:pPr>
        <w:pStyle w:val="26"/>
        <w:ind w:firstLine="720"/>
        <w:jc w:val="both"/>
        <w:rPr>
          <w:rFonts w:ascii="Arial" w:hAnsi="Arial" w:cs="Arial"/>
        </w:rPr>
      </w:pPr>
      <w:r>
        <w:rPr>
          <w:rFonts w:ascii="Arial" w:hAnsi="Arial" w:cs="Arial"/>
        </w:rPr>
        <w:t>Islamic schools play</w:t>
      </w:r>
      <w:r>
        <w:rPr>
          <w:rFonts w:hint="default" w:ascii="Arial" w:hAnsi="Arial" w:cs="Arial"/>
          <w:lang w:val="en-US"/>
        </w:rPr>
        <w:t>ed</w:t>
      </w:r>
      <w:r>
        <w:rPr>
          <w:rFonts w:ascii="Arial" w:hAnsi="Arial" w:cs="Arial"/>
        </w:rPr>
        <w:t xml:space="preserve"> a vital role in developing learners who are academically competent, morally upright, and spiritually grounded. Grounded in a holistic philosophy of Islamic education, these institutions integrate</w:t>
      </w:r>
      <w:r>
        <w:rPr>
          <w:rFonts w:hint="default" w:ascii="Arial" w:hAnsi="Arial" w:cs="Arial"/>
          <w:lang w:val="en-US"/>
        </w:rPr>
        <w:t>d</w:t>
      </w:r>
      <w:r>
        <w:rPr>
          <w:rFonts w:ascii="Arial" w:hAnsi="Arial" w:cs="Arial"/>
        </w:rPr>
        <w:t xml:space="preserve"> intellectual development with ethical values derived from the Qur’an and Sunnah (Al-Attas, 1999; Halstead, 2004). Muslim educators </w:t>
      </w:r>
      <w:r>
        <w:rPr>
          <w:rFonts w:hint="default" w:ascii="Arial" w:hAnsi="Arial" w:cs="Arial"/>
          <w:lang w:val="en-US"/>
        </w:rPr>
        <w:t>was</w:t>
      </w:r>
      <w:r>
        <w:rPr>
          <w:rFonts w:ascii="Arial" w:hAnsi="Arial" w:cs="Arial"/>
        </w:rPr>
        <w:t xml:space="preserve"> entrusted with the dual responsibility of delivering quality instruction while nurturing students’ character, faith, and social responsibility.</w:t>
      </w:r>
    </w:p>
    <w:p w14:paraId="4943A208">
      <w:pPr>
        <w:pStyle w:val="10"/>
        <w:ind w:firstLine="720"/>
        <w:jc w:val="both"/>
        <w:rPr>
          <w:rFonts w:ascii="Arial" w:hAnsi="Arial" w:cs="Arial"/>
        </w:rPr>
      </w:pPr>
      <w:r>
        <w:rPr>
          <w:rFonts w:ascii="Arial" w:hAnsi="Arial" w:cs="Arial"/>
        </w:rPr>
        <w:t>However, many Islamic schools face</w:t>
      </w:r>
      <w:r>
        <w:rPr>
          <w:rFonts w:hint="default" w:ascii="Arial" w:hAnsi="Arial" w:cs="Arial"/>
          <w:lang w:val="en-US"/>
        </w:rPr>
        <w:t>d</w:t>
      </w:r>
      <w:r>
        <w:rPr>
          <w:rFonts w:ascii="Arial" w:hAnsi="Arial" w:cs="Arial"/>
        </w:rPr>
        <w:t xml:space="preserve"> persistent challenges in teacher training and leadership development. Research indicate</w:t>
      </w:r>
      <w:r>
        <w:rPr>
          <w:rFonts w:hint="default" w:ascii="Arial" w:hAnsi="Arial" w:cs="Arial"/>
          <w:lang w:val="en-US"/>
        </w:rPr>
        <w:t>d</w:t>
      </w:r>
      <w:r>
        <w:rPr>
          <w:rFonts w:ascii="Arial" w:hAnsi="Arial" w:cs="Arial"/>
        </w:rPr>
        <w:t xml:space="preserve"> that Muslim educators often have limited access to structured professional development programs addressing contemporary pedagogical strategies, assessment practices, curriculum integration, and instructional leadership (Rahman, 2018; Saeed &amp; Syed, 2020). Teacher preparation in many Islamic schools emphasize</w:t>
      </w:r>
      <w:r>
        <w:rPr>
          <w:rFonts w:hint="default" w:ascii="Arial" w:hAnsi="Arial" w:cs="Arial"/>
          <w:lang w:val="en-US"/>
        </w:rPr>
        <w:t>d</w:t>
      </w:r>
      <w:r>
        <w:rPr>
          <w:rFonts w:ascii="Arial" w:hAnsi="Arial" w:cs="Arial"/>
        </w:rPr>
        <w:t xml:space="preserve"> religious knowledge while providing insufficient training in modern teaching methodologies, classroom management, and educational leadership. This imbalance contribute</w:t>
      </w:r>
      <w:r>
        <w:rPr>
          <w:rFonts w:hint="default" w:ascii="Arial" w:hAnsi="Arial" w:cs="Arial"/>
          <w:lang w:val="en-US"/>
        </w:rPr>
        <w:t>d</w:t>
      </w:r>
      <w:r>
        <w:rPr>
          <w:rFonts w:ascii="Arial" w:hAnsi="Arial" w:cs="Arial"/>
        </w:rPr>
        <w:t xml:space="preserve"> to training gaps that affect instructional effectiveness and school improvement efforts.</w:t>
      </w:r>
    </w:p>
    <w:p w14:paraId="42ABFC06">
      <w:pPr>
        <w:pStyle w:val="10"/>
        <w:ind w:firstLine="720"/>
        <w:jc w:val="both"/>
        <w:rPr>
          <w:rFonts w:ascii="Arial" w:hAnsi="Arial" w:cs="Arial"/>
        </w:rPr>
      </w:pPr>
      <w:r>
        <w:rPr>
          <w:rFonts w:ascii="Arial" w:hAnsi="Arial" w:cs="Arial"/>
        </w:rPr>
        <w:t>Leadership development in Islamic schools also remain</w:t>
      </w:r>
      <w:r>
        <w:rPr>
          <w:rFonts w:hint="default" w:ascii="Arial" w:hAnsi="Arial" w:cs="Arial"/>
          <w:lang w:val="en-US"/>
        </w:rPr>
        <w:t>ed</w:t>
      </w:r>
      <w:r>
        <w:rPr>
          <w:rFonts w:ascii="Arial" w:hAnsi="Arial" w:cs="Arial"/>
        </w:rPr>
        <w:t xml:space="preserve"> underdeveloped. School leaders, particularly principals and administrators, </w:t>
      </w:r>
      <w:r>
        <w:rPr>
          <w:rFonts w:hint="default" w:ascii="Arial" w:hAnsi="Arial" w:cs="Arial"/>
          <w:lang w:val="en-US"/>
        </w:rPr>
        <w:t>were</w:t>
      </w:r>
      <w:r>
        <w:rPr>
          <w:rFonts w:ascii="Arial" w:hAnsi="Arial" w:cs="Arial"/>
        </w:rPr>
        <w:t xml:space="preserve"> expected to exercise leadership that is both professionally sound and ethically grounded in Islamic values such as amanah (trust), ’adl (justice), and shura (consultation). Transformational and values-based leadership positively influence</w:t>
      </w:r>
      <w:r>
        <w:rPr>
          <w:rFonts w:hint="default" w:ascii="Arial" w:hAnsi="Arial" w:cs="Arial"/>
          <w:lang w:val="en-US"/>
        </w:rPr>
        <w:t>d</w:t>
      </w:r>
      <w:r>
        <w:rPr>
          <w:rFonts w:ascii="Arial" w:hAnsi="Arial" w:cs="Arial"/>
        </w:rPr>
        <w:t xml:space="preserve"> teacher motivation, professional growth, and organizational commitment (Bush &amp; Kiggundu, 2011; Ahmad &amp; Fontaine, 2019). Yet, many schools lack systematic leadership development programs that prepare educators to assume leadership roles, mentor peers, and contribute to decision-making processes.</w:t>
      </w:r>
    </w:p>
    <w:p w14:paraId="5AF05A54">
      <w:pPr>
        <w:pStyle w:val="10"/>
        <w:ind w:firstLine="720"/>
        <w:jc w:val="both"/>
        <w:rPr>
          <w:rFonts w:ascii="Arial" w:hAnsi="Arial" w:cs="Arial"/>
        </w:rPr>
      </w:pPr>
      <w:r>
        <w:rPr>
          <w:rFonts w:ascii="Arial" w:hAnsi="Arial" w:cs="Arial"/>
        </w:rPr>
        <w:t>Furthermore, opportunities for teacher leadership—where educators actively participate</w:t>
      </w:r>
      <w:r>
        <w:rPr>
          <w:rFonts w:hint="default" w:ascii="Arial" w:hAnsi="Arial" w:cs="Arial"/>
          <w:lang w:val="en-US"/>
        </w:rPr>
        <w:t>d</w:t>
      </w:r>
      <w:r>
        <w:rPr>
          <w:rFonts w:ascii="Arial" w:hAnsi="Arial" w:cs="Arial"/>
        </w:rPr>
        <w:t xml:space="preserve"> in school governance, curriculum development, and professional learning communities—are limited. Traditional hierarchical structures and resource constraints restrict</w:t>
      </w:r>
      <w:r>
        <w:rPr>
          <w:rFonts w:hint="default" w:ascii="Arial" w:hAnsi="Arial" w:cs="Arial"/>
          <w:lang w:val="en-US"/>
        </w:rPr>
        <w:t>ed</w:t>
      </w:r>
      <w:r>
        <w:rPr>
          <w:rFonts w:ascii="Arial" w:hAnsi="Arial" w:cs="Arial"/>
        </w:rPr>
        <w:t xml:space="preserve"> teachers’ involvement in leadership functions, leading to underutilization of expertise and professional stagnation (Harris, 2014; Noor, 2021).</w:t>
      </w:r>
    </w:p>
    <w:p w14:paraId="51C634C9">
      <w:pPr>
        <w:pStyle w:val="10"/>
        <w:ind w:firstLine="720"/>
        <w:jc w:val="both"/>
        <w:rPr>
          <w:rFonts w:ascii="Arial" w:hAnsi="Arial" w:cs="Arial"/>
        </w:rPr>
      </w:pPr>
      <w:r>
        <w:rPr>
          <w:rFonts w:ascii="Arial" w:hAnsi="Arial" w:cs="Arial"/>
        </w:rPr>
        <w:t>In the Philippine context, Islamic schools face</w:t>
      </w:r>
      <w:r>
        <w:rPr>
          <w:rFonts w:hint="default" w:ascii="Arial" w:hAnsi="Arial" w:cs="Arial"/>
          <w:lang w:val="en-US"/>
        </w:rPr>
        <w:t>d</w:t>
      </w:r>
      <w:r>
        <w:rPr>
          <w:rFonts w:ascii="Arial" w:hAnsi="Arial" w:cs="Arial"/>
        </w:rPr>
        <w:t xml:space="preserve"> additional socio-cultural and institutional challenges, such as limited funding, uneven government support, and disparities in access to professional learning resources. These conditions highlight</w:t>
      </w:r>
      <w:r>
        <w:rPr>
          <w:rFonts w:hint="default" w:ascii="Arial" w:hAnsi="Arial" w:cs="Arial"/>
          <w:lang w:val="en-US"/>
        </w:rPr>
        <w:t>ed</w:t>
      </w:r>
      <w:r>
        <w:rPr>
          <w:rFonts w:ascii="Arial" w:hAnsi="Arial" w:cs="Arial"/>
        </w:rPr>
        <w:t xml:space="preserve"> the urgent need for strategies that empower Muslim educators through continuous professional development and leadership formation aligned with both Islamic principles and contemporary educational standards.</w:t>
      </w:r>
    </w:p>
    <w:p w14:paraId="5CFD488B">
      <w:pPr>
        <w:jc w:val="both"/>
        <w:rPr>
          <w:rFonts w:ascii="Arial" w:hAnsi="Arial" w:eastAsia="Arial" w:cs="Arial"/>
          <w:b/>
          <w:bCs/>
          <w:sz w:val="24"/>
          <w:szCs w:val="24"/>
        </w:rPr>
      </w:pPr>
    </w:p>
    <w:p w14:paraId="7BD4D223">
      <w:pPr>
        <w:jc w:val="center"/>
        <w:rPr>
          <w:sz w:val="20"/>
          <w:szCs w:val="20"/>
        </w:rPr>
      </w:pPr>
      <w:r>
        <w:rPr>
          <w:rFonts w:ascii="Arial" w:hAnsi="Arial" w:eastAsia="Arial" w:cs="Arial"/>
          <w:b/>
          <w:bCs/>
          <w:sz w:val="24"/>
          <w:szCs w:val="24"/>
        </w:rPr>
        <w:t>METHODS</w:t>
      </w:r>
    </w:p>
    <w:p w14:paraId="2E8E7A28">
      <w:pPr>
        <w:jc w:val="both"/>
        <w:rPr>
          <w:sz w:val="20"/>
          <w:szCs w:val="20"/>
        </w:rPr>
      </w:pPr>
      <w:r>
        <w:rPr>
          <w:rFonts w:ascii="Arial" w:hAnsi="Arial" w:eastAsia="Arial" w:cs="Arial"/>
          <w:b/>
          <w:bCs/>
          <w:sz w:val="24"/>
          <w:szCs w:val="24"/>
        </w:rPr>
        <w:t>Research Design</w:t>
      </w:r>
    </w:p>
    <w:p w14:paraId="2AF12AAC">
      <w:pPr>
        <w:spacing w:line="14" w:lineRule="auto"/>
        <w:jc w:val="both"/>
        <w:rPr>
          <w:sz w:val="20"/>
          <w:szCs w:val="20"/>
        </w:rPr>
      </w:pPr>
    </w:p>
    <w:p w14:paraId="6FF07D02">
      <w:pPr>
        <w:pStyle w:val="26"/>
        <w:ind w:firstLine="720"/>
        <w:jc w:val="both"/>
        <w:rPr>
          <w:rFonts w:ascii="Arial" w:hAnsi="Arial" w:cs="Arial"/>
        </w:rPr>
      </w:pPr>
      <w:r>
        <w:rPr>
          <w:rFonts w:ascii="Arial" w:hAnsi="Arial" w:cs="Arial"/>
        </w:rPr>
        <w:t>The study employ</w:t>
      </w:r>
      <w:r>
        <w:rPr>
          <w:rFonts w:hint="default" w:ascii="Arial" w:hAnsi="Arial" w:cs="Arial"/>
          <w:lang w:val="en-US"/>
        </w:rPr>
        <w:t>ed</w:t>
      </w:r>
      <w:r>
        <w:rPr>
          <w:rFonts w:ascii="Arial" w:hAnsi="Arial" w:cs="Arial"/>
        </w:rPr>
        <w:t xml:space="preserve"> a qualitative research design, integrating narrative inquiry, action research, and case study methods to explore Muslim educators’ lived experiences and leadership development. The research focuse</w:t>
      </w:r>
      <w:r>
        <w:rPr>
          <w:rFonts w:hint="default" w:ascii="Arial" w:hAnsi="Arial" w:cs="Arial"/>
          <w:lang w:val="en-US"/>
        </w:rPr>
        <w:t>d</w:t>
      </w:r>
      <w:r>
        <w:rPr>
          <w:rFonts w:ascii="Arial" w:hAnsi="Arial" w:cs="Arial"/>
        </w:rPr>
        <w:t xml:space="preserve"> on Islamic schools in Kalamansig municipality.</w:t>
      </w:r>
    </w:p>
    <w:p w14:paraId="48A0CACB">
      <w:pPr>
        <w:jc w:val="both"/>
        <w:rPr>
          <w:sz w:val="20"/>
          <w:szCs w:val="20"/>
        </w:rPr>
      </w:pPr>
      <w:r>
        <w:rPr>
          <w:rFonts w:ascii="Arial" w:hAnsi="Arial" w:eastAsia="Arial" w:cs="Arial"/>
          <w:b/>
          <w:bCs/>
          <w:sz w:val="24"/>
          <w:szCs w:val="24"/>
        </w:rPr>
        <w:t xml:space="preserve">Research Participants </w:t>
      </w:r>
    </w:p>
    <w:p w14:paraId="5B90A569">
      <w:pPr>
        <w:spacing w:line="14" w:lineRule="auto"/>
        <w:jc w:val="both"/>
        <w:rPr>
          <w:sz w:val="20"/>
          <w:szCs w:val="20"/>
        </w:rPr>
      </w:pPr>
    </w:p>
    <w:p w14:paraId="0DA011CE">
      <w:pPr>
        <w:pStyle w:val="10"/>
        <w:ind w:firstLine="720"/>
        <w:jc w:val="both"/>
        <w:rPr>
          <w:rFonts w:ascii="Arial" w:hAnsi="Arial" w:cs="Arial"/>
        </w:rPr>
      </w:pPr>
      <w:r>
        <w:rPr>
          <w:rFonts w:ascii="Arial" w:hAnsi="Arial" w:cs="Arial"/>
        </w:rPr>
        <w:t>Participants included Muslim teachers, school leaders/principals, and professional development officers in the selected Islamic schools.</w:t>
      </w:r>
    </w:p>
    <w:p w14:paraId="50D7CF6C">
      <w:pPr>
        <w:rPr>
          <w:color w:val="FF0000"/>
          <w:sz w:val="20"/>
          <w:szCs w:val="20"/>
        </w:rPr>
      </w:pPr>
      <w:r>
        <w:rPr>
          <w:rFonts w:ascii="Arial" w:hAnsi="Arial" w:eastAsia="Arial" w:cs="Arial"/>
          <w:b/>
          <w:bCs/>
          <w:sz w:val="24"/>
          <w:szCs w:val="24"/>
        </w:rPr>
        <w:t xml:space="preserve">Data Gathering Procedure </w:t>
      </w:r>
    </w:p>
    <w:p w14:paraId="023D35EF">
      <w:pPr>
        <w:spacing w:line="14" w:lineRule="auto"/>
        <w:rPr>
          <w:sz w:val="20"/>
          <w:szCs w:val="20"/>
        </w:rPr>
      </w:pPr>
    </w:p>
    <w:p w14:paraId="6232A6D7">
      <w:pPr>
        <w:pStyle w:val="10"/>
        <w:ind w:firstLine="720"/>
        <w:jc w:val="both"/>
        <w:rPr>
          <w:rFonts w:ascii="Arial" w:hAnsi="Arial" w:cs="Arial"/>
        </w:rPr>
      </w:pPr>
      <w:r>
        <w:rPr>
          <w:rFonts w:ascii="Arial" w:hAnsi="Arial" w:cs="Arial"/>
        </w:rPr>
        <w:t xml:space="preserve">Multiple qualitative methods were used: - </w:t>
      </w:r>
      <w:r>
        <w:rPr>
          <w:rFonts w:ascii="Arial" w:hAnsi="Arial" w:cs="Arial"/>
          <w:b/>
          <w:bCs/>
        </w:rPr>
        <w:t>In-depth semi-structured interviews</w:t>
      </w:r>
      <w:r>
        <w:rPr>
          <w:rFonts w:ascii="Arial" w:hAnsi="Arial" w:cs="Arial"/>
        </w:rPr>
        <w:t xml:space="preserve"> to explore personal experiences with professional development and leadership support. - </w:t>
      </w:r>
      <w:r>
        <w:rPr>
          <w:rFonts w:ascii="Arial" w:hAnsi="Arial" w:cs="Arial"/>
          <w:b/>
          <w:bCs/>
        </w:rPr>
        <w:t>Focus group discussions (FGDs)</w:t>
      </w:r>
      <w:r>
        <w:rPr>
          <w:rFonts w:ascii="Arial" w:hAnsi="Arial" w:cs="Arial"/>
        </w:rPr>
        <w:t xml:space="preserve"> to identify shared challenges and collective strategies for empowerment.</w:t>
      </w:r>
    </w:p>
    <w:p w14:paraId="4C376065">
      <w:pPr>
        <w:pStyle w:val="10"/>
        <w:jc w:val="both"/>
        <w:rPr>
          <w:rFonts w:ascii="Arial" w:hAnsi="Arial" w:cs="Arial"/>
        </w:rPr>
      </w:pPr>
      <w:r>
        <w:rPr>
          <w:rFonts w:ascii="Arial" w:hAnsi="Arial" w:cs="Arial"/>
          <w:b/>
          <w:bCs/>
        </w:rPr>
        <w:t>Procedures</w:t>
      </w:r>
      <w:r>
        <w:rPr>
          <w:rFonts w:ascii="Arial" w:hAnsi="Arial" w:cs="Arial"/>
        </w:rPr>
        <w:t xml:space="preserve"> </w:t>
      </w:r>
    </w:p>
    <w:p w14:paraId="0379D7D0">
      <w:pPr>
        <w:pStyle w:val="10"/>
        <w:ind w:firstLine="720"/>
        <w:jc w:val="both"/>
        <w:rPr>
          <w:rFonts w:ascii="Arial" w:hAnsi="Arial" w:cs="Arial"/>
        </w:rPr>
      </w:pPr>
      <w:r>
        <w:rPr>
          <w:rFonts w:ascii="Arial" w:hAnsi="Arial" w:cs="Arial"/>
        </w:rPr>
        <w:t>Ethical approval and institutional consent were obtained. - Participants provided informed consent and were assured of confidentiality. - Interviews and FGDs were recorded, transcribed, and thematically analyzed.</w:t>
      </w:r>
    </w:p>
    <w:p w14:paraId="74590739">
      <w:pPr>
        <w:pStyle w:val="10"/>
        <w:jc w:val="both"/>
        <w:rPr>
          <w:rFonts w:ascii="Arial" w:hAnsi="Arial" w:cs="Arial"/>
        </w:rPr>
      </w:pPr>
      <w:r>
        <w:rPr>
          <w:rFonts w:ascii="Arial" w:hAnsi="Arial" w:cs="Arial"/>
          <w:b/>
          <w:bCs/>
        </w:rPr>
        <w:t>Data Analysis</w:t>
      </w:r>
      <w:r>
        <w:rPr>
          <w:rFonts w:ascii="Arial" w:hAnsi="Arial" w:cs="Arial"/>
        </w:rPr>
        <w:t xml:space="preserve"> </w:t>
      </w:r>
    </w:p>
    <w:p w14:paraId="16770C8C">
      <w:pPr>
        <w:pStyle w:val="10"/>
        <w:jc w:val="both"/>
        <w:rPr>
          <w:rFonts w:ascii="Arial" w:hAnsi="Arial" w:cs="Arial"/>
        </w:rPr>
      </w:pPr>
      <w:r>
        <w:rPr>
          <w:rFonts w:ascii="Arial" w:hAnsi="Arial" w:cs="Arial"/>
        </w:rPr>
        <w:t xml:space="preserve">Thematic analysis was used to identify recurring patterns and themes. - Initial codes were generated, clustered into broader categories, and refined iteratively. - </w:t>
      </w:r>
      <w:r>
        <w:rPr>
          <w:rFonts w:ascii="Arial" w:hAnsi="Arial" w:cs="Arial"/>
          <w:b/>
          <w:bCs/>
        </w:rPr>
        <w:t>Data triangulation</w:t>
      </w:r>
      <w:r>
        <w:rPr>
          <w:rFonts w:ascii="Arial" w:hAnsi="Arial" w:cs="Arial"/>
        </w:rPr>
        <w:t xml:space="preserve"> across interviews and FGDs enhanced credibility and validity.</w:t>
      </w:r>
    </w:p>
    <w:p w14:paraId="018EA5A6">
      <w:pPr>
        <w:rPr>
          <w:rFonts w:ascii="Arial" w:hAnsi="Arial" w:eastAsia="Arial" w:cs="Arial"/>
          <w:b/>
          <w:bCs/>
          <w:sz w:val="24"/>
          <w:szCs w:val="24"/>
        </w:rPr>
      </w:pPr>
    </w:p>
    <w:p w14:paraId="5875915E">
      <w:pPr>
        <w:jc w:val="center"/>
        <w:rPr>
          <w:rFonts w:ascii="Arial" w:hAnsi="Arial" w:eastAsia="Arial" w:cs="Arial"/>
          <w:b/>
          <w:bCs/>
          <w:sz w:val="24"/>
          <w:szCs w:val="24"/>
        </w:rPr>
      </w:pPr>
      <w:r>
        <w:rPr>
          <w:rFonts w:ascii="Arial" w:hAnsi="Arial" w:eastAsia="Arial" w:cs="Arial"/>
          <w:b/>
          <w:bCs/>
          <w:sz w:val="24"/>
          <w:szCs w:val="24"/>
        </w:rPr>
        <w:t>RESULTS AND DISCUSSION</w:t>
      </w:r>
    </w:p>
    <w:p w14:paraId="3156A89B">
      <w:pPr>
        <w:jc w:val="center"/>
        <w:rPr>
          <w:rFonts w:ascii="Arial" w:hAnsi="Arial" w:eastAsia="Arial" w:cs="Arial"/>
          <w:b/>
          <w:bCs/>
          <w:sz w:val="24"/>
          <w:szCs w:val="24"/>
        </w:rPr>
      </w:pPr>
    </w:p>
    <w:p w14:paraId="4F912434">
      <w:pPr>
        <w:ind w:firstLine="720"/>
        <w:jc w:val="both"/>
        <w:rPr>
          <w:rFonts w:ascii="Arial" w:hAnsi="Arial" w:cs="Arial"/>
          <w:sz w:val="24"/>
          <w:szCs w:val="24"/>
        </w:rPr>
      </w:pPr>
      <w:r>
        <w:rPr>
          <w:rFonts w:ascii="Arial" w:hAnsi="Arial" w:eastAsia="Arial" w:cs="Arial"/>
          <w:b/>
          <w:bCs/>
          <w:color w:val="000000"/>
          <w:sz w:val="24"/>
          <w:szCs w:val="24"/>
        </w:rPr>
        <w:tab/>
      </w:r>
      <w:r>
        <w:rPr>
          <w:rFonts w:ascii="Arial" w:hAnsi="Arial" w:cs="Arial"/>
          <w:sz w:val="24"/>
          <w:szCs w:val="24"/>
        </w:rPr>
        <w:t>The findings demonstrated that Muslim educators in Islamic schools face systemic challenges related to training, leadership development, and empowerment. Consistent with existing literature, the lack of continuous professional development and institutional support limits teachers’ instructional effectiveness and leadership capacity (Darling-Hammond et al., 2017).</w:t>
      </w:r>
    </w:p>
    <w:p w14:paraId="0E26CDCA">
      <w:pPr>
        <w:ind w:firstLine="720"/>
        <w:jc w:val="both"/>
        <w:rPr>
          <w:rFonts w:ascii="Arial" w:hAnsi="Arial" w:cs="Arial"/>
          <w:sz w:val="24"/>
          <w:szCs w:val="24"/>
        </w:rPr>
      </w:pPr>
      <w:r>
        <w:rPr>
          <w:rFonts w:ascii="Arial" w:hAnsi="Arial" w:cs="Arial"/>
          <w:sz w:val="24"/>
          <w:szCs w:val="24"/>
        </w:rPr>
        <w:t>Despite these challenges, educators remain committed to their profession, driven by religious values and service to the community. This faith-based motivation reflect</w:t>
      </w:r>
      <w:r>
        <w:rPr>
          <w:rFonts w:hint="default" w:ascii="Arial" w:hAnsi="Arial" w:cs="Arial"/>
          <w:sz w:val="24"/>
          <w:szCs w:val="24"/>
          <w:lang w:val="en-US"/>
        </w:rPr>
        <w:t>ed</w:t>
      </w:r>
      <w:r>
        <w:rPr>
          <w:rFonts w:ascii="Arial" w:hAnsi="Arial" w:cs="Arial"/>
          <w:sz w:val="24"/>
          <w:szCs w:val="24"/>
        </w:rPr>
        <w:t xml:space="preserve"> the concept of values-driven leadership, which has been recognized as a powerful factor in sustaining educators in resource-constrained contexts (Hallinger, 2011).</w:t>
      </w:r>
    </w:p>
    <w:p w14:paraId="01B16B45">
      <w:pPr>
        <w:widowControl w:val="0"/>
        <w:autoSpaceDE w:val="0"/>
        <w:autoSpaceDN w:val="0"/>
        <w:adjustRightInd w:val="0"/>
        <w:spacing w:before="240"/>
        <w:ind w:firstLine="720"/>
        <w:jc w:val="both"/>
        <w:rPr>
          <w:rFonts w:ascii="Arial" w:hAnsi="Arial" w:cs="Arial"/>
          <w:bCs/>
          <w:sz w:val="24"/>
          <w:szCs w:val="24"/>
        </w:rPr>
      </w:pPr>
      <w:r>
        <w:rPr>
          <w:rFonts w:ascii="Arial" w:hAnsi="Arial" w:cs="Arial"/>
          <w:bCs/>
          <w:sz w:val="24"/>
          <w:szCs w:val="24"/>
        </w:rPr>
        <w:t>This section present</w:t>
      </w:r>
      <w:r>
        <w:rPr>
          <w:rFonts w:hint="default" w:ascii="Arial" w:hAnsi="Arial" w:cs="Arial"/>
          <w:bCs/>
          <w:sz w:val="24"/>
          <w:szCs w:val="24"/>
          <w:lang w:val="en-US"/>
        </w:rPr>
        <w:t>ed</w:t>
      </w:r>
      <w:r>
        <w:rPr>
          <w:rFonts w:ascii="Arial" w:hAnsi="Arial" w:cs="Arial"/>
          <w:bCs/>
          <w:sz w:val="24"/>
          <w:szCs w:val="24"/>
        </w:rPr>
        <w:t xml:space="preserve"> the study’s findings and explains their meanings in relation to the research objectives. It also discussed how the results support or differ from previous studies.</w:t>
      </w:r>
    </w:p>
    <w:p w14:paraId="0E6CE1FA">
      <w:pPr>
        <w:jc w:val="both"/>
        <w:rPr>
          <w:rFonts w:ascii="Arial" w:hAnsi="Arial" w:cs="Arial"/>
          <w:b/>
          <w:bCs/>
          <w:sz w:val="24"/>
          <w:szCs w:val="24"/>
        </w:rPr>
      </w:pPr>
      <w:r>
        <w:rPr>
          <w:rFonts w:ascii="Arial" w:hAnsi="Arial" w:cs="Arial"/>
          <w:b/>
          <w:bCs/>
          <w:sz w:val="24"/>
          <w:szCs w:val="24"/>
        </w:rPr>
        <w:t>Theme 1: Leadership Roles Amid Limited Institutional Support</w:t>
      </w:r>
    </w:p>
    <w:p w14:paraId="0225F83C">
      <w:pPr>
        <w:ind w:firstLine="720"/>
        <w:jc w:val="both"/>
        <w:rPr>
          <w:rFonts w:ascii="Arial" w:hAnsi="Arial" w:cs="Arial"/>
          <w:sz w:val="28"/>
          <w:szCs w:val="28"/>
        </w:rPr>
      </w:pPr>
      <w:r>
        <w:rPr>
          <w:rFonts w:ascii="Arial" w:hAnsi="Arial" w:cs="Arial"/>
          <w:sz w:val="24"/>
          <w:szCs w:val="24"/>
        </w:rPr>
        <w:t>The findings reveal</w:t>
      </w:r>
      <w:r>
        <w:rPr>
          <w:rFonts w:hint="default" w:ascii="Arial" w:hAnsi="Arial" w:cs="Arial"/>
          <w:sz w:val="24"/>
          <w:szCs w:val="24"/>
          <w:lang w:val="en-US"/>
        </w:rPr>
        <w:t>ed</w:t>
      </w:r>
      <w:r>
        <w:rPr>
          <w:rFonts w:ascii="Arial" w:hAnsi="Arial" w:cs="Arial"/>
          <w:sz w:val="24"/>
          <w:szCs w:val="24"/>
        </w:rPr>
        <w:t xml:space="preserve"> that leadership development among Muslim educators in Islamic schools </w:t>
      </w:r>
      <w:r>
        <w:rPr>
          <w:rFonts w:hint="default" w:ascii="Arial" w:hAnsi="Arial" w:cs="Arial"/>
          <w:sz w:val="24"/>
          <w:szCs w:val="24"/>
          <w:lang w:val="en-US"/>
        </w:rPr>
        <w:t>was</w:t>
      </w:r>
      <w:r>
        <w:rPr>
          <w:rFonts w:ascii="Arial" w:hAnsi="Arial" w:cs="Arial"/>
          <w:sz w:val="24"/>
          <w:szCs w:val="24"/>
        </w:rPr>
        <w:t xml:space="preserve"> predominantly informal, experience-based, and role-driven rather than programmatically structured. Participants’ narratives indicate</w:t>
      </w:r>
      <w:r>
        <w:rPr>
          <w:rFonts w:hint="default" w:ascii="Arial" w:hAnsi="Arial" w:cs="Arial"/>
          <w:sz w:val="24"/>
          <w:szCs w:val="24"/>
          <w:lang w:val="en-US"/>
        </w:rPr>
        <w:t>d</w:t>
      </w:r>
      <w:r>
        <w:rPr>
          <w:rFonts w:ascii="Arial" w:hAnsi="Arial" w:cs="Arial"/>
          <w:sz w:val="24"/>
          <w:szCs w:val="24"/>
        </w:rPr>
        <w:t xml:space="preserve"> that teachers routinely assume</w:t>
      </w:r>
      <w:r>
        <w:rPr>
          <w:rFonts w:hint="default" w:ascii="Arial" w:hAnsi="Arial" w:cs="Arial"/>
          <w:sz w:val="24"/>
          <w:szCs w:val="24"/>
          <w:lang w:val="en-US"/>
        </w:rPr>
        <w:t>d</w:t>
      </w:r>
      <w:r>
        <w:rPr>
          <w:rFonts w:ascii="Arial" w:hAnsi="Arial" w:cs="Arial"/>
          <w:sz w:val="24"/>
          <w:szCs w:val="24"/>
        </w:rPr>
        <w:t xml:space="preserve"> multiple responsibilities—ranging from classroom instruction to administrative management and community coordination—largely due to limited human resources and organizational capacity within Islamic schools.  Below </w:t>
      </w:r>
      <w:r>
        <w:rPr>
          <w:rFonts w:hint="default" w:ascii="Arial" w:hAnsi="Arial" w:cs="Arial"/>
          <w:sz w:val="24"/>
          <w:szCs w:val="24"/>
          <w:lang w:val="en-US"/>
        </w:rPr>
        <w:t>we</w:t>
      </w:r>
      <w:r>
        <w:rPr>
          <w:rFonts w:ascii="Arial" w:hAnsi="Arial" w:cs="Arial"/>
          <w:sz w:val="24"/>
          <w:szCs w:val="24"/>
        </w:rPr>
        <w:t>re some responses from the participants that</w:t>
      </w:r>
      <w:r>
        <w:t xml:space="preserve"> </w:t>
      </w:r>
      <w:r>
        <w:rPr>
          <w:rFonts w:ascii="Arial" w:hAnsi="Arial" w:cs="Arial"/>
          <w:sz w:val="24"/>
          <w:szCs w:val="24"/>
        </w:rPr>
        <w:t>illustrate</w:t>
      </w:r>
      <w:r>
        <w:rPr>
          <w:rFonts w:hint="default" w:ascii="Arial" w:hAnsi="Arial" w:cs="Arial"/>
          <w:sz w:val="24"/>
          <w:szCs w:val="24"/>
          <w:lang w:val="en-US"/>
        </w:rPr>
        <w:t>d</w:t>
      </w:r>
      <w:r>
        <w:rPr>
          <w:rFonts w:ascii="Arial" w:hAnsi="Arial" w:cs="Arial"/>
          <w:sz w:val="24"/>
          <w:szCs w:val="24"/>
        </w:rPr>
        <w:t xml:space="preserve"> how leadership roles emerge out of necessity rather than formal designation or preparation:</w:t>
      </w:r>
    </w:p>
    <w:p w14:paraId="05B0DA0F">
      <w:pPr>
        <w:ind w:left="1440"/>
        <w:jc w:val="both"/>
        <w:rPr>
          <w:rFonts w:ascii="Arial" w:hAnsi="Arial" w:cs="Arial"/>
          <w:i/>
          <w:iCs/>
          <w:sz w:val="24"/>
          <w:szCs w:val="24"/>
        </w:rPr>
      </w:pPr>
      <w:r>
        <w:rPr>
          <w:rFonts w:ascii="Arial" w:hAnsi="Arial" w:cs="Arial"/>
          <w:i/>
          <w:iCs/>
          <w:sz w:val="24"/>
          <w:szCs w:val="24"/>
        </w:rPr>
        <w:t xml:space="preserve">“Our responsibility is not only to teach. We also run the school.” </w:t>
      </w:r>
      <w:r>
        <w:rPr>
          <w:rFonts w:ascii="Arial" w:hAnsi="Arial" w:cs="Arial"/>
          <w:sz w:val="24"/>
          <w:szCs w:val="24"/>
        </w:rPr>
        <w:t>(IDI-P5)</w:t>
      </w:r>
    </w:p>
    <w:p w14:paraId="6CAA3722">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“I organize everything from school-based to district.”  </w:t>
      </w:r>
      <w:r>
        <w:rPr>
          <w:rFonts w:ascii="Arial" w:hAnsi="Arial" w:cs="Arial"/>
          <w:sz w:val="24"/>
          <w:szCs w:val="24"/>
        </w:rPr>
        <w:t>(IDI-P4)</w:t>
      </w:r>
    </w:p>
    <w:p w14:paraId="59120156">
      <w:pPr>
        <w:ind w:left="1440"/>
        <w:jc w:val="both"/>
        <w:rPr>
          <w:rFonts w:ascii="Arial" w:hAnsi="Arial" w:cs="Arial"/>
          <w:i/>
          <w:iCs/>
          <w:sz w:val="24"/>
          <w:szCs w:val="24"/>
        </w:rPr>
      </w:pPr>
      <w:r>
        <w:rPr>
          <w:rFonts w:ascii="Arial" w:hAnsi="Arial" w:cs="Arial"/>
          <w:i/>
          <w:iCs/>
          <w:sz w:val="24"/>
          <w:szCs w:val="24"/>
        </w:rPr>
        <w:t xml:space="preserve">“In the last five years, almost none.” </w:t>
      </w:r>
      <w:r>
        <w:rPr>
          <w:rFonts w:ascii="Arial" w:hAnsi="Arial" w:cs="Arial"/>
          <w:sz w:val="24"/>
          <w:szCs w:val="24"/>
        </w:rPr>
        <w:t>(IDI-P2)</w:t>
      </w:r>
    </w:p>
    <w:p w14:paraId="22CA23D3">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“We need mentors... people from universities.” </w:t>
      </w:r>
      <w:r>
        <w:rPr>
          <w:rFonts w:ascii="Arial" w:hAnsi="Arial" w:cs="Arial"/>
          <w:sz w:val="24"/>
          <w:szCs w:val="24"/>
        </w:rPr>
        <w:t>(IDI-P2)</w:t>
      </w:r>
    </w:p>
    <w:p w14:paraId="3FCD187D">
      <w:pPr>
        <w:ind w:left="1440"/>
        <w:jc w:val="both"/>
        <w:rPr>
          <w:rFonts w:ascii="Arial" w:hAnsi="Arial" w:cs="Arial"/>
          <w:sz w:val="24"/>
          <w:szCs w:val="24"/>
        </w:rPr>
      </w:pPr>
      <w:r>
        <w:rPr>
          <w:rFonts w:ascii="Arial" w:hAnsi="Arial" w:cs="Arial"/>
          <w:i/>
          <w:iCs/>
          <w:sz w:val="24"/>
          <w:szCs w:val="24"/>
        </w:rPr>
        <w:t xml:space="preserve">“It builds confidence.”  </w:t>
      </w:r>
      <w:r>
        <w:rPr>
          <w:rFonts w:ascii="Arial" w:hAnsi="Arial" w:cs="Arial"/>
          <w:sz w:val="24"/>
          <w:szCs w:val="24"/>
        </w:rPr>
        <w:t>(IDI-P2)</w:t>
      </w:r>
    </w:p>
    <w:p w14:paraId="3A314E26">
      <w:pPr>
        <w:ind w:firstLine="720"/>
        <w:jc w:val="both"/>
        <w:rPr>
          <w:rFonts w:ascii="Arial" w:hAnsi="Arial" w:cs="Arial"/>
          <w:sz w:val="24"/>
          <w:szCs w:val="24"/>
        </w:rPr>
      </w:pPr>
      <w:r>
        <w:rPr>
          <w:rFonts w:ascii="Arial" w:hAnsi="Arial" w:cs="Arial"/>
          <w:sz w:val="24"/>
          <w:szCs w:val="24"/>
        </w:rPr>
        <w:t>This situation reflect</w:t>
      </w:r>
      <w:r>
        <w:rPr>
          <w:rFonts w:hint="default" w:ascii="Arial" w:hAnsi="Arial" w:cs="Arial"/>
          <w:sz w:val="24"/>
          <w:szCs w:val="24"/>
          <w:lang w:val="en-US"/>
        </w:rPr>
        <w:t>ed</w:t>
      </w:r>
      <w:r>
        <w:rPr>
          <w:rFonts w:ascii="Arial" w:hAnsi="Arial" w:cs="Arial"/>
          <w:sz w:val="24"/>
          <w:szCs w:val="24"/>
        </w:rPr>
        <w:t xml:space="preserve"> what Bush and Glover (2014) describe</w:t>
      </w:r>
      <w:r>
        <w:rPr>
          <w:rFonts w:hint="default" w:ascii="Arial" w:hAnsi="Arial" w:cs="Arial"/>
          <w:sz w:val="24"/>
          <w:szCs w:val="24"/>
          <w:lang w:val="en-US"/>
        </w:rPr>
        <w:t>d</w:t>
      </w:r>
      <w:r>
        <w:rPr>
          <w:rFonts w:ascii="Arial" w:hAnsi="Arial" w:cs="Arial"/>
          <w:sz w:val="24"/>
          <w:szCs w:val="24"/>
        </w:rPr>
        <w:t xml:space="preserve"> as emergent or incidental leadership, where individuals acquire</w:t>
      </w:r>
      <w:r>
        <w:rPr>
          <w:rFonts w:hint="default" w:ascii="Arial" w:hAnsi="Arial" w:cs="Arial"/>
          <w:sz w:val="24"/>
          <w:szCs w:val="24"/>
          <w:lang w:val="en-US"/>
        </w:rPr>
        <w:t>d</w:t>
      </w:r>
      <w:r>
        <w:rPr>
          <w:rFonts w:ascii="Arial" w:hAnsi="Arial" w:cs="Arial"/>
          <w:sz w:val="24"/>
          <w:szCs w:val="24"/>
        </w:rPr>
        <w:t xml:space="preserve"> leadership skills through practice and situational demands rather than through intentional leadership development programs. While experiential leadership can enhance</w:t>
      </w:r>
      <w:r>
        <w:rPr>
          <w:rFonts w:hint="default" w:ascii="Arial" w:hAnsi="Arial" w:cs="Arial"/>
          <w:sz w:val="24"/>
          <w:szCs w:val="24"/>
          <w:lang w:val="en-US"/>
        </w:rPr>
        <w:t>d</w:t>
      </w:r>
      <w:r>
        <w:rPr>
          <w:rFonts w:ascii="Arial" w:hAnsi="Arial" w:cs="Arial"/>
          <w:sz w:val="24"/>
          <w:szCs w:val="24"/>
        </w:rPr>
        <w:t xml:space="preserve"> practical competence, it often lacks coherence, consistency, and sustainability when not supported by structured mentoring or training frameworks. The participants’ admission that leadership development opportunities ha</w:t>
      </w:r>
      <w:r>
        <w:rPr>
          <w:rFonts w:hint="default" w:ascii="Arial" w:hAnsi="Arial" w:cs="Arial"/>
          <w:sz w:val="24"/>
          <w:szCs w:val="24"/>
          <w:lang w:val="en-US"/>
        </w:rPr>
        <w:t>d</w:t>
      </w:r>
      <w:r>
        <w:rPr>
          <w:rFonts w:ascii="Arial" w:hAnsi="Arial" w:cs="Arial"/>
          <w:sz w:val="24"/>
          <w:szCs w:val="24"/>
        </w:rPr>
        <w:t xml:space="preserve"> been minimal, highlights a systemic gap in professional support for Muslim educators aspiring to or already performing leadership functions.</w:t>
      </w:r>
    </w:p>
    <w:p w14:paraId="108FE060">
      <w:pPr>
        <w:ind w:firstLine="720"/>
        <w:jc w:val="both"/>
        <w:rPr>
          <w:rFonts w:ascii="Arial" w:hAnsi="Arial" w:cs="Arial"/>
          <w:sz w:val="24"/>
          <w:szCs w:val="24"/>
        </w:rPr>
      </w:pPr>
      <w:r>
        <w:rPr>
          <w:rFonts w:ascii="Arial" w:hAnsi="Arial" w:cs="Arial"/>
          <w:sz w:val="24"/>
          <w:szCs w:val="24"/>
        </w:rPr>
        <w:t xml:space="preserve">Although some Islamic schools reportedly have principals or supervisors, participants noted that monitoring, mentoring, and evaluation mechanisms </w:t>
      </w:r>
      <w:r>
        <w:rPr>
          <w:rFonts w:hint="default" w:ascii="Arial" w:hAnsi="Arial" w:cs="Arial"/>
          <w:sz w:val="24"/>
          <w:szCs w:val="24"/>
          <w:lang w:val="en-US"/>
        </w:rPr>
        <w:t>were</w:t>
      </w:r>
      <w:r>
        <w:rPr>
          <w:rFonts w:ascii="Arial" w:hAnsi="Arial" w:cs="Arial"/>
          <w:sz w:val="24"/>
          <w:szCs w:val="24"/>
        </w:rPr>
        <w:t xml:space="preserve"> irregular and insufficient. This finding align</w:t>
      </w:r>
      <w:r>
        <w:rPr>
          <w:rFonts w:hint="default" w:ascii="Arial" w:hAnsi="Arial" w:cs="Arial"/>
          <w:sz w:val="24"/>
          <w:szCs w:val="24"/>
          <w:lang w:val="en-US"/>
        </w:rPr>
        <w:t>ed</w:t>
      </w:r>
      <w:r>
        <w:rPr>
          <w:rFonts w:ascii="Arial" w:hAnsi="Arial" w:cs="Arial"/>
          <w:sz w:val="24"/>
          <w:szCs w:val="24"/>
        </w:rPr>
        <w:t xml:space="preserve"> with prior studies indicating that many faith-based and low-resource schools rel</w:t>
      </w:r>
      <w:r>
        <w:rPr>
          <w:rFonts w:hint="default" w:ascii="Arial" w:hAnsi="Arial" w:cs="Arial"/>
          <w:sz w:val="24"/>
          <w:szCs w:val="24"/>
          <w:lang w:val="en-US"/>
        </w:rPr>
        <w:t>ied</w:t>
      </w:r>
      <w:r>
        <w:rPr>
          <w:rFonts w:ascii="Arial" w:hAnsi="Arial" w:cs="Arial"/>
          <w:sz w:val="24"/>
          <w:szCs w:val="24"/>
        </w:rPr>
        <w:t xml:space="preserve"> heavily on informal supervision due to financial constraints and limited access to leadership expertise (Arar, Sawalhi, &amp; Yilmaz, 2022). The expressed need for mentorship,</w:t>
      </w:r>
      <w:r>
        <w:rPr>
          <w:rFonts w:ascii="Arial" w:hAnsi="Arial" w:cs="Arial"/>
          <w:sz w:val="24"/>
          <w:szCs w:val="24"/>
        </w:rPr>
        <w:t xml:space="preserve"> further suggest</w:t>
      </w:r>
      <w:r>
        <w:rPr>
          <w:rFonts w:hint="default" w:ascii="Arial" w:hAnsi="Arial" w:cs="Arial"/>
          <w:sz w:val="24"/>
          <w:szCs w:val="24"/>
          <w:lang w:val="en-US"/>
        </w:rPr>
        <w:t>ed</w:t>
      </w:r>
      <w:r>
        <w:rPr>
          <w:rFonts w:ascii="Arial" w:hAnsi="Arial" w:cs="Arial"/>
          <w:sz w:val="24"/>
          <w:szCs w:val="24"/>
        </w:rPr>
        <w:t xml:space="preserve"> that educators recognize</w:t>
      </w:r>
      <w:r>
        <w:rPr>
          <w:rFonts w:hint="default" w:ascii="Arial" w:hAnsi="Arial" w:cs="Arial"/>
          <w:sz w:val="24"/>
          <w:szCs w:val="24"/>
          <w:lang w:val="en-US"/>
        </w:rPr>
        <w:t>d</w:t>
      </w:r>
      <w:r>
        <w:rPr>
          <w:rFonts w:ascii="Arial" w:hAnsi="Arial" w:cs="Arial"/>
          <w:sz w:val="24"/>
          <w:szCs w:val="24"/>
        </w:rPr>
        <w:t xml:space="preserve"> the limitations of self-taught leadership and value external academic and professional guidance.</w:t>
      </w:r>
    </w:p>
    <w:p w14:paraId="7A9F6ACF">
      <w:pPr>
        <w:ind w:firstLine="720"/>
        <w:jc w:val="both"/>
        <w:rPr>
          <w:rFonts w:ascii="Arial" w:hAnsi="Arial" w:cs="Arial"/>
          <w:sz w:val="24"/>
          <w:szCs w:val="24"/>
        </w:rPr>
      </w:pPr>
      <w:r>
        <w:rPr>
          <w:rFonts w:ascii="Arial" w:hAnsi="Arial" w:cs="Arial"/>
          <w:sz w:val="24"/>
          <w:szCs w:val="24"/>
        </w:rPr>
        <w:t>Despite these challenges, participants acknowledged positive outcomes associated with leadership responsibilities, including increased confidence, improved decision-making, and a stronger sense of accountability. These perceptions support</w:t>
      </w:r>
      <w:r>
        <w:rPr>
          <w:rFonts w:hint="default" w:ascii="Arial" w:hAnsi="Arial" w:cs="Arial"/>
          <w:sz w:val="24"/>
          <w:szCs w:val="24"/>
          <w:lang w:val="en-US"/>
        </w:rPr>
        <w:t>ed</w:t>
      </w:r>
      <w:r>
        <w:rPr>
          <w:rFonts w:ascii="Arial" w:hAnsi="Arial" w:cs="Arial"/>
          <w:sz w:val="24"/>
          <w:szCs w:val="24"/>
        </w:rPr>
        <w:t xml:space="preserve"> literature suggesting that experiential leadership foster</w:t>
      </w:r>
      <w:r>
        <w:rPr>
          <w:rFonts w:hint="default" w:ascii="Arial" w:hAnsi="Arial" w:cs="Arial"/>
          <w:sz w:val="24"/>
          <w:szCs w:val="24"/>
          <w:lang w:val="en-US"/>
        </w:rPr>
        <w:t>ed</w:t>
      </w:r>
      <w:r>
        <w:rPr>
          <w:rFonts w:ascii="Arial" w:hAnsi="Arial" w:cs="Arial"/>
          <w:sz w:val="24"/>
          <w:szCs w:val="24"/>
        </w:rPr>
        <w:t xml:space="preserve"> self-efficacy and professional identity, particularly when educators </w:t>
      </w:r>
      <w:r>
        <w:rPr>
          <w:rFonts w:hint="default" w:ascii="Arial" w:hAnsi="Arial" w:cs="Arial"/>
          <w:sz w:val="24"/>
          <w:szCs w:val="24"/>
          <w:lang w:val="en-US"/>
        </w:rPr>
        <w:t>were</w:t>
      </w:r>
      <w:r>
        <w:rPr>
          <w:rFonts w:ascii="Arial" w:hAnsi="Arial" w:cs="Arial"/>
          <w:sz w:val="24"/>
          <w:szCs w:val="24"/>
        </w:rPr>
        <w:t xml:space="preserve"> entrusted with meaningful responsibilities (Day, 2013; Harris, 2014). However, without systematic training, such growth remains uneven and highly dependent on individual resilience and opportunity rather than institutional support.</w:t>
      </w:r>
    </w:p>
    <w:p w14:paraId="50D18048">
      <w:pPr>
        <w:ind w:firstLine="720"/>
        <w:jc w:val="both"/>
        <w:rPr>
          <w:rFonts w:ascii="Arial" w:hAnsi="Arial" w:cs="Arial"/>
          <w:sz w:val="24"/>
          <w:szCs w:val="24"/>
        </w:rPr>
      </w:pPr>
      <w:r>
        <w:rPr>
          <w:rFonts w:ascii="Arial" w:hAnsi="Arial" w:cs="Arial"/>
          <w:sz w:val="24"/>
          <w:szCs w:val="24"/>
        </w:rPr>
        <w:t>The findings ha</w:t>
      </w:r>
      <w:r>
        <w:rPr>
          <w:rFonts w:hint="default" w:ascii="Arial" w:hAnsi="Arial" w:cs="Arial"/>
          <w:sz w:val="24"/>
          <w:szCs w:val="24"/>
          <w:lang w:val="en-US"/>
        </w:rPr>
        <w:t>d</w:t>
      </w:r>
      <w:r>
        <w:rPr>
          <w:rFonts w:ascii="Arial" w:hAnsi="Arial" w:cs="Arial"/>
          <w:sz w:val="24"/>
          <w:szCs w:val="24"/>
        </w:rPr>
        <w:t xml:space="preserve"> several important implications for policy, practice, and leadership development in Islamic schools.</w:t>
      </w:r>
    </w:p>
    <w:p w14:paraId="10333861">
      <w:pPr>
        <w:ind w:firstLine="720"/>
        <w:jc w:val="both"/>
        <w:rPr>
          <w:rFonts w:ascii="Arial" w:hAnsi="Arial" w:cs="Arial"/>
          <w:sz w:val="24"/>
          <w:szCs w:val="24"/>
        </w:rPr>
      </w:pPr>
      <w:r>
        <w:rPr>
          <w:rFonts w:ascii="Arial" w:hAnsi="Arial" w:cs="Arial"/>
          <w:sz w:val="24"/>
          <w:szCs w:val="24"/>
        </w:rPr>
        <w:t xml:space="preserve">First, there </w:t>
      </w:r>
      <w:r>
        <w:rPr>
          <w:rFonts w:hint="default" w:ascii="Arial" w:hAnsi="Arial" w:cs="Arial"/>
          <w:sz w:val="24"/>
          <w:szCs w:val="24"/>
          <w:lang w:val="en-US"/>
        </w:rPr>
        <w:t>was</w:t>
      </w:r>
      <w:r>
        <w:rPr>
          <w:rFonts w:ascii="Arial" w:hAnsi="Arial" w:cs="Arial"/>
          <w:sz w:val="24"/>
          <w:szCs w:val="24"/>
        </w:rPr>
        <w:t xml:space="preserve"> a clear need to institutionalize leadership development rather than relying solely on informal, experience-based learning. While experiential leadership contribute</w:t>
      </w:r>
      <w:r>
        <w:rPr>
          <w:rFonts w:hint="default" w:ascii="Arial" w:hAnsi="Arial" w:cs="Arial"/>
          <w:sz w:val="24"/>
          <w:szCs w:val="24"/>
          <w:lang w:val="en-US"/>
        </w:rPr>
        <w:t>d</w:t>
      </w:r>
      <w:r>
        <w:rPr>
          <w:rFonts w:ascii="Arial" w:hAnsi="Arial" w:cs="Arial"/>
          <w:sz w:val="24"/>
          <w:szCs w:val="24"/>
        </w:rPr>
        <w:t xml:space="preserve"> to confidence and adaptability, the absence of structured training may limit</w:t>
      </w:r>
      <w:r>
        <w:rPr>
          <w:rFonts w:hint="default" w:ascii="Arial" w:hAnsi="Arial" w:cs="Arial"/>
          <w:sz w:val="24"/>
          <w:szCs w:val="24"/>
          <w:lang w:val="en-US"/>
        </w:rPr>
        <w:t>ed</w:t>
      </w:r>
      <w:r>
        <w:rPr>
          <w:rFonts w:ascii="Arial" w:hAnsi="Arial" w:cs="Arial"/>
          <w:sz w:val="24"/>
          <w:szCs w:val="24"/>
        </w:rPr>
        <w:t xml:space="preserve"> long-term effectiveness and consistency. Islamic schools should consider</w:t>
      </w:r>
      <w:r>
        <w:rPr>
          <w:rFonts w:hint="default" w:ascii="Arial" w:hAnsi="Arial" w:cs="Arial"/>
          <w:sz w:val="24"/>
          <w:szCs w:val="24"/>
          <w:lang w:val="en-US"/>
        </w:rPr>
        <w:t>ed</w:t>
      </w:r>
      <w:r>
        <w:rPr>
          <w:rFonts w:ascii="Arial" w:hAnsi="Arial" w:cs="Arial"/>
          <w:sz w:val="24"/>
          <w:szCs w:val="24"/>
        </w:rPr>
        <w:t xml:space="preserve"> developing context-responsive leadership training programs that integrate</w:t>
      </w:r>
      <w:r>
        <w:rPr>
          <w:rFonts w:hint="default" w:ascii="Arial" w:hAnsi="Arial" w:cs="Arial"/>
          <w:sz w:val="24"/>
          <w:szCs w:val="24"/>
          <w:lang w:val="en-US"/>
        </w:rPr>
        <w:t>d</w:t>
      </w:r>
      <w:r>
        <w:rPr>
          <w:rFonts w:ascii="Arial" w:hAnsi="Arial" w:cs="Arial"/>
          <w:sz w:val="24"/>
          <w:szCs w:val="24"/>
        </w:rPr>
        <w:t xml:space="preserve"> Islamic values with contemporary educational leadership competencies, as recommended by Arar et al. (2022).</w:t>
      </w:r>
    </w:p>
    <w:p w14:paraId="18069C22">
      <w:pPr>
        <w:ind w:firstLine="720"/>
        <w:jc w:val="both"/>
        <w:rPr>
          <w:rFonts w:ascii="Arial" w:hAnsi="Arial" w:cs="Arial"/>
          <w:sz w:val="24"/>
          <w:szCs w:val="24"/>
        </w:rPr>
      </w:pPr>
      <w:r>
        <w:rPr>
          <w:rFonts w:ascii="Arial" w:hAnsi="Arial" w:cs="Arial"/>
          <w:sz w:val="24"/>
          <w:szCs w:val="24"/>
        </w:rPr>
        <w:t>Second, the lack of consistent mentoring and supervision underscores the importance of establishing formal mentoring systems, particularly partnerships with higher education institutions and teacher education programs. University-school collaborations can provide access to leadership expertise, research-based practices, and reflective mentoring, which ha</w:t>
      </w:r>
      <w:r>
        <w:rPr>
          <w:rFonts w:hint="default" w:ascii="Arial" w:hAnsi="Arial" w:cs="Arial"/>
          <w:sz w:val="24"/>
          <w:szCs w:val="24"/>
          <w:lang w:val="en-US"/>
        </w:rPr>
        <w:t>d</w:t>
      </w:r>
      <w:r>
        <w:rPr>
          <w:rFonts w:ascii="Arial" w:hAnsi="Arial" w:cs="Arial"/>
          <w:sz w:val="24"/>
          <w:szCs w:val="24"/>
        </w:rPr>
        <w:t xml:space="preserve"> been shown to enhance leadership capacity and instructional quality (Bush, 2020; Hallinger, 2011).</w:t>
      </w:r>
    </w:p>
    <w:p w14:paraId="50A09559">
      <w:pPr>
        <w:ind w:firstLine="720"/>
        <w:jc w:val="both"/>
        <w:rPr>
          <w:rFonts w:ascii="Arial" w:hAnsi="Arial" w:cs="Arial"/>
          <w:sz w:val="24"/>
          <w:szCs w:val="24"/>
        </w:rPr>
      </w:pPr>
      <w:r>
        <w:rPr>
          <w:rFonts w:ascii="Arial" w:hAnsi="Arial" w:cs="Arial"/>
          <w:sz w:val="24"/>
          <w:szCs w:val="24"/>
        </w:rPr>
        <w:t>Third, the multiple roles assumed by Muslim educators raise concerns about role overload and sustainability. While multitasking may foster</w:t>
      </w:r>
      <w:r>
        <w:rPr>
          <w:rFonts w:hint="default" w:ascii="Arial" w:hAnsi="Arial" w:cs="Arial"/>
          <w:sz w:val="24"/>
          <w:szCs w:val="24"/>
          <w:lang w:val="en-US"/>
        </w:rPr>
        <w:t>ed</w:t>
      </w:r>
      <w:r>
        <w:rPr>
          <w:rFonts w:ascii="Arial" w:hAnsi="Arial" w:cs="Arial"/>
          <w:sz w:val="24"/>
          <w:szCs w:val="24"/>
        </w:rPr>
        <w:t xml:space="preserve"> leadership skills, prolonged role strain can lead to burnout and reduced instructional effectiveness (Hargreaves &amp; Fullan, 2012). School leaders and governing bodies should therefore explore</w:t>
      </w:r>
      <w:r>
        <w:rPr>
          <w:rFonts w:hint="default" w:ascii="Arial" w:hAnsi="Arial" w:cs="Arial"/>
          <w:sz w:val="24"/>
          <w:szCs w:val="24"/>
          <w:lang w:val="en-US"/>
        </w:rPr>
        <w:t>d</w:t>
      </w:r>
      <w:r>
        <w:rPr>
          <w:rFonts w:ascii="Arial" w:hAnsi="Arial" w:cs="Arial"/>
          <w:sz w:val="24"/>
          <w:szCs w:val="24"/>
        </w:rPr>
        <w:t xml:space="preserve"> workforce planning strategies, role clarification, and shared leadership models to distribute responsibilities more equitably.</w:t>
      </w:r>
    </w:p>
    <w:p w14:paraId="3B8E5EBC">
      <w:pPr>
        <w:ind w:firstLine="720"/>
        <w:jc w:val="both"/>
        <w:rPr>
          <w:rFonts w:ascii="Arial" w:hAnsi="Arial" w:cs="Arial"/>
          <w:sz w:val="24"/>
          <w:szCs w:val="24"/>
        </w:rPr>
      </w:pPr>
      <w:r>
        <w:rPr>
          <w:rFonts w:ascii="Arial" w:hAnsi="Arial" w:cs="Arial"/>
          <w:sz w:val="24"/>
          <w:szCs w:val="24"/>
        </w:rPr>
        <w:t>Finally, the findings suggest</w:t>
      </w:r>
      <w:r>
        <w:rPr>
          <w:rFonts w:hint="default" w:ascii="Arial" w:hAnsi="Arial" w:cs="Arial"/>
          <w:sz w:val="24"/>
          <w:szCs w:val="24"/>
          <w:lang w:val="en-US"/>
        </w:rPr>
        <w:t>ed</w:t>
      </w:r>
      <w:r>
        <w:rPr>
          <w:rFonts w:ascii="Arial" w:hAnsi="Arial" w:cs="Arial"/>
          <w:sz w:val="24"/>
          <w:szCs w:val="24"/>
        </w:rPr>
        <w:t xml:space="preserve"> that leadership development initiatives in Islamic schools should prioritize confidence-building, decision-making, and accountability, as these were identified by participants as key benefits of leadership experience. Embedding reflective practice, coaching, and feedback mechanisms within leadership programs may help transform experiential learning into intentional professional growth (Day &amp; Sammons, 2016).</w:t>
      </w:r>
    </w:p>
    <w:p w14:paraId="5FD51F3F">
      <w:pPr>
        <w:rPr>
          <w:rFonts w:ascii="Arial" w:hAnsi="Arial" w:cs="Arial"/>
          <w:b/>
          <w:bCs/>
          <w:sz w:val="24"/>
          <w:szCs w:val="24"/>
        </w:rPr>
      </w:pPr>
    </w:p>
    <w:p w14:paraId="0E1CA2A2">
      <w:pPr>
        <w:rPr>
          <w:rFonts w:ascii="Arial" w:hAnsi="Arial" w:cs="Arial"/>
          <w:b/>
          <w:bCs/>
          <w:sz w:val="24"/>
          <w:szCs w:val="24"/>
        </w:rPr>
      </w:pPr>
    </w:p>
    <w:p w14:paraId="7B97E628">
      <w:pPr>
        <w:rPr>
          <w:rFonts w:ascii="Arial" w:hAnsi="Arial" w:cs="Arial"/>
          <w:b/>
          <w:bCs/>
          <w:sz w:val="24"/>
          <w:szCs w:val="24"/>
        </w:rPr>
      </w:pPr>
      <w:r>
        <w:rPr>
          <w:rFonts w:ascii="Arial" w:hAnsi="Arial" w:cs="Arial"/>
          <w:b/>
          <w:bCs/>
          <w:sz w:val="24"/>
          <w:szCs w:val="24"/>
        </w:rPr>
        <w:t>Thematic Analysis Table</w:t>
      </w:r>
    </w:p>
    <w:p w14:paraId="0D658D69">
      <w:pPr>
        <w:pStyle w:val="27"/>
        <w:suppressAutoHyphens w:val="0"/>
        <w:spacing w:after="160" w:line="240" w:lineRule="auto"/>
        <w:ind w:left="0"/>
        <w:contextualSpacing/>
        <w:jc w:val="both"/>
        <w:rPr>
          <w:rFonts w:ascii="Arial" w:hAnsi="Arial" w:cs="Arial"/>
          <w:b/>
          <w:bCs/>
          <w:i/>
          <w:iCs/>
          <w:sz w:val="24"/>
          <w:szCs w:val="24"/>
        </w:rPr>
      </w:pPr>
      <w:r>
        <w:rPr>
          <w:rFonts w:ascii="Arial" w:hAnsi="Arial" w:cs="Arial"/>
          <w:b/>
          <w:bCs/>
          <w:sz w:val="24"/>
          <w:szCs w:val="24"/>
        </w:rPr>
        <w:t xml:space="preserve">Table 1. </w:t>
      </w:r>
      <w:r>
        <w:rPr>
          <w:rFonts w:ascii="Arial" w:hAnsi="Arial" w:cs="Arial"/>
          <w:b/>
          <w:bCs/>
          <w:i/>
          <w:iCs/>
          <w:sz w:val="24"/>
          <w:szCs w:val="24"/>
        </w:rPr>
        <w:t>What are the lived experiences of Muslim educator in leadership roles in Islamic schools?</w:t>
      </w:r>
    </w:p>
    <w:tbl>
      <w:tblPr>
        <w:tblStyle w:val="9"/>
        <w:tblW w:w="5238" w:type="pct"/>
        <w:tblInd w:w="128" w:type="dxa"/>
        <w:tblLayout w:type="autofit"/>
        <w:tblCellMar>
          <w:top w:w="15" w:type="dxa"/>
          <w:left w:w="15" w:type="dxa"/>
          <w:bottom w:w="15" w:type="dxa"/>
          <w:right w:w="15" w:type="dxa"/>
        </w:tblCellMar>
      </w:tblPr>
      <w:tblGrid>
        <w:gridCol w:w="1470"/>
        <w:gridCol w:w="1550"/>
        <w:gridCol w:w="1864"/>
        <w:gridCol w:w="1874"/>
        <w:gridCol w:w="1568"/>
        <w:gridCol w:w="1731"/>
      </w:tblGrid>
      <w:tr w14:paraId="673FD122">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0BEEB8CF">
            <w:pPr>
              <w:rPr>
                <w:rFonts w:ascii="Arial" w:hAnsi="Arial" w:cs="Arial"/>
                <w:b/>
                <w:bCs/>
                <w:sz w:val="24"/>
                <w:szCs w:val="24"/>
              </w:rPr>
            </w:pPr>
            <w:r>
              <w:rPr>
                <w:rFonts w:ascii="Arial" w:hAnsi="Arial" w:cs="Arial"/>
                <w:b/>
                <w:bCs/>
                <w:sz w:val="24"/>
                <w:szCs w:val="24"/>
              </w:rPr>
              <w:t>Issues Probed</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6034917F">
            <w:pPr>
              <w:rPr>
                <w:rFonts w:ascii="Arial" w:hAnsi="Arial" w:cs="Arial"/>
                <w:b/>
                <w:bCs/>
                <w:sz w:val="24"/>
                <w:szCs w:val="24"/>
              </w:rPr>
            </w:pPr>
            <w:r>
              <w:rPr>
                <w:rFonts w:ascii="Arial" w:hAnsi="Arial" w:cs="Arial"/>
                <w:b/>
                <w:bCs/>
                <w:sz w:val="24"/>
                <w:szCs w:val="24"/>
              </w:rPr>
              <w:t>Codes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BBEAD18">
            <w:pPr>
              <w:rPr>
                <w:rFonts w:ascii="Arial" w:hAnsi="Arial" w:cs="Arial"/>
                <w:b/>
                <w:bCs/>
                <w:sz w:val="24"/>
                <w:szCs w:val="24"/>
              </w:rPr>
            </w:pPr>
            <w:r>
              <w:rPr>
                <w:rFonts w:ascii="Arial" w:hAnsi="Arial" w:cs="Arial"/>
                <w:b/>
                <w:bCs/>
                <w:sz w:val="24"/>
                <w:szCs w:val="24"/>
              </w:rPr>
              <w:t>Categories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D036A81">
            <w:pPr>
              <w:rPr>
                <w:rFonts w:ascii="Arial" w:hAnsi="Arial" w:cs="Arial"/>
                <w:b/>
                <w:bCs/>
                <w:sz w:val="24"/>
                <w:szCs w:val="24"/>
              </w:rPr>
            </w:pPr>
            <w:r>
              <w:rPr>
                <w:rFonts w:ascii="Arial" w:hAnsi="Arial" w:cs="Arial"/>
                <w:b/>
                <w:bCs/>
                <w:sz w:val="24"/>
                <w:szCs w:val="24"/>
              </w:rPr>
              <w:t>Signified Statements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719A936">
            <w:pPr>
              <w:rPr>
                <w:rFonts w:ascii="Arial" w:hAnsi="Arial" w:cs="Arial"/>
                <w:b/>
                <w:bCs/>
                <w:sz w:val="24"/>
                <w:szCs w:val="24"/>
              </w:rPr>
            </w:pPr>
            <w:r>
              <w:rPr>
                <w:rFonts w:ascii="Arial" w:hAnsi="Arial" w:cs="Arial"/>
                <w:b/>
                <w:bCs/>
                <w:sz w:val="24"/>
                <w:szCs w:val="24"/>
              </w:rPr>
              <w:t>Themes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E7D47FF">
            <w:pPr>
              <w:rPr>
                <w:rFonts w:ascii="Arial" w:hAnsi="Arial" w:cs="Arial"/>
                <w:b/>
                <w:bCs/>
                <w:sz w:val="24"/>
                <w:szCs w:val="24"/>
              </w:rPr>
            </w:pPr>
            <w:r>
              <w:rPr>
                <w:rFonts w:ascii="Arial" w:hAnsi="Arial" w:cs="Arial"/>
                <w:b/>
                <w:bCs/>
                <w:sz w:val="24"/>
                <w:szCs w:val="24"/>
              </w:rPr>
              <w:t>Meanings</w:t>
            </w:r>
          </w:p>
        </w:tc>
      </w:tr>
      <w:tr w14:paraId="57749D19">
        <w:tblPrEx>
          <w:tblCellMar>
            <w:top w:w="15" w:type="dxa"/>
            <w:left w:w="15" w:type="dxa"/>
            <w:bottom w:w="15" w:type="dxa"/>
            <w:right w:w="15" w:type="dxa"/>
          </w:tblCellMar>
        </w:tblPrEx>
        <w:tc>
          <w:tcPr>
            <w:tcW w:w="0" w:type="auto"/>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1646FAD8">
            <w:pPr>
              <w:rPr>
                <w:rFonts w:ascii="Arial" w:hAnsi="Arial" w:cs="Arial"/>
                <w:sz w:val="24"/>
                <w:szCs w:val="24"/>
              </w:rPr>
            </w:pPr>
            <w:r>
              <w:rPr>
                <w:rFonts w:ascii="Arial" w:hAnsi="Arial" w:cs="Arial"/>
                <w:sz w:val="24"/>
                <w:szCs w:val="24"/>
              </w:rPr>
              <w:t>Lived Experience</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11DCC0">
            <w:pPr>
              <w:rPr>
                <w:rFonts w:ascii="Arial" w:hAnsi="Arial" w:cs="Arial"/>
                <w:sz w:val="24"/>
                <w:szCs w:val="24"/>
              </w:rPr>
            </w:pPr>
            <w:r>
              <w:rPr>
                <w:rFonts w:ascii="Arial" w:hAnsi="Arial" w:cs="Arial"/>
                <w:sz w:val="24"/>
                <w:szCs w:val="24"/>
              </w:rPr>
              <w:t>Leadership by necessity</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44E9901">
            <w:pPr>
              <w:rPr>
                <w:rFonts w:ascii="Arial" w:hAnsi="Arial" w:cs="Arial"/>
                <w:sz w:val="24"/>
                <w:szCs w:val="24"/>
              </w:rPr>
            </w:pPr>
            <w:r>
              <w:rPr>
                <w:rFonts w:ascii="Arial" w:hAnsi="Arial" w:cs="Arial"/>
                <w:sz w:val="24"/>
                <w:szCs w:val="24"/>
              </w:rPr>
              <w:t>Multiple responsibilities</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6507A61">
            <w:pPr>
              <w:rPr>
                <w:rFonts w:ascii="Arial" w:hAnsi="Arial" w:cs="Arial"/>
                <w:sz w:val="24"/>
                <w:szCs w:val="24"/>
              </w:rPr>
            </w:pPr>
            <w:bookmarkStart w:id="0" w:name="_Hlk218934807"/>
            <w:r>
              <w:rPr>
                <w:rFonts w:ascii="Arial" w:hAnsi="Arial" w:cs="Arial"/>
                <w:sz w:val="24"/>
                <w:szCs w:val="24"/>
              </w:rPr>
              <w:t>“Our responsibility is not only to teach. We also run the school.”</w:t>
            </w:r>
            <w:bookmarkEnd w:id="0"/>
          </w:p>
        </w:tc>
        <w:tc>
          <w:tcPr>
            <w:tcW w:w="0" w:type="auto"/>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7873ABDC">
            <w:pPr>
              <w:rPr>
                <w:rFonts w:ascii="Arial" w:hAnsi="Arial" w:cs="Arial"/>
                <w:sz w:val="24"/>
                <w:szCs w:val="24"/>
              </w:rPr>
            </w:pPr>
            <w:r>
              <w:rPr>
                <w:rFonts w:ascii="Arial" w:hAnsi="Arial" w:cs="Arial"/>
                <w:sz w:val="24"/>
                <w:szCs w:val="24"/>
              </w:rPr>
              <w:t>Leadership Roles Amid Limited Support</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89501D9">
            <w:pPr>
              <w:rPr>
                <w:rFonts w:ascii="Arial" w:hAnsi="Arial" w:cs="Arial"/>
                <w:sz w:val="24"/>
                <w:szCs w:val="24"/>
              </w:rPr>
            </w:pPr>
            <w:r>
              <w:rPr>
                <w:rFonts w:ascii="Arial" w:hAnsi="Arial" w:cs="Arial"/>
                <w:sz w:val="24"/>
                <w:szCs w:val="24"/>
              </w:rPr>
              <w:t>Teachers assume leadership roles beyond teaching.</w:t>
            </w:r>
          </w:p>
        </w:tc>
      </w:tr>
      <w:tr w14:paraId="4D720DE3">
        <w:tblPrEx>
          <w:tblCellMar>
            <w:top w:w="15" w:type="dxa"/>
            <w:left w:w="15" w:type="dxa"/>
            <w:bottom w:w="15" w:type="dxa"/>
            <w:right w:w="15" w:type="dxa"/>
          </w:tblCellMar>
        </w:tblPrEx>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2FBBBBEC">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0251F88">
            <w:pPr>
              <w:rPr>
                <w:rFonts w:ascii="Arial" w:hAnsi="Arial" w:cs="Arial"/>
                <w:sz w:val="24"/>
                <w:szCs w:val="24"/>
              </w:rPr>
            </w:pPr>
            <w:r>
              <w:rPr>
                <w:rFonts w:ascii="Arial" w:hAnsi="Arial" w:cs="Arial"/>
                <w:sz w:val="24"/>
                <w:szCs w:val="24"/>
              </w:rPr>
              <w:t>Informal leadership</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B37733B">
            <w:pPr>
              <w:rPr>
                <w:rFonts w:ascii="Arial" w:hAnsi="Arial" w:cs="Arial"/>
                <w:sz w:val="24"/>
                <w:szCs w:val="24"/>
              </w:rPr>
            </w:pPr>
            <w:r>
              <w:rPr>
                <w:rFonts w:ascii="Arial" w:hAnsi="Arial" w:cs="Arial"/>
                <w:sz w:val="24"/>
                <w:szCs w:val="24"/>
              </w:rPr>
              <w:t>School-based leadership</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94C7B91">
            <w:pPr>
              <w:rPr>
                <w:rFonts w:ascii="Arial" w:hAnsi="Arial" w:cs="Arial"/>
                <w:sz w:val="24"/>
                <w:szCs w:val="24"/>
              </w:rPr>
            </w:pPr>
            <w:bookmarkStart w:id="1" w:name="_Hlk218934828"/>
            <w:r>
              <w:rPr>
                <w:rFonts w:ascii="Arial" w:hAnsi="Arial" w:cs="Arial"/>
                <w:sz w:val="24"/>
                <w:szCs w:val="24"/>
              </w:rPr>
              <w:t>“I organize everything from school-based to district.”</w:t>
            </w:r>
            <w:bookmarkEnd w:id="1"/>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662D6169">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5FEDD05">
            <w:pPr>
              <w:rPr>
                <w:rFonts w:ascii="Arial" w:hAnsi="Arial" w:cs="Arial"/>
                <w:sz w:val="24"/>
                <w:szCs w:val="24"/>
              </w:rPr>
            </w:pPr>
            <w:r>
              <w:rPr>
                <w:rFonts w:ascii="Arial" w:hAnsi="Arial" w:cs="Arial"/>
                <w:sz w:val="24"/>
                <w:szCs w:val="24"/>
              </w:rPr>
              <w:t>Leadership develops informally through experience.</w:t>
            </w:r>
          </w:p>
        </w:tc>
      </w:tr>
      <w:tr w14:paraId="438E5DD1">
        <w:tblPrEx>
          <w:tblCellMar>
            <w:top w:w="15" w:type="dxa"/>
            <w:left w:w="15" w:type="dxa"/>
            <w:bottom w:w="15" w:type="dxa"/>
            <w:right w:w="15" w:type="dxa"/>
          </w:tblCellMar>
        </w:tblPrEx>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2B8BAE15">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8A235B2">
            <w:pPr>
              <w:rPr>
                <w:rFonts w:ascii="Arial" w:hAnsi="Arial" w:cs="Arial"/>
                <w:sz w:val="24"/>
                <w:szCs w:val="24"/>
              </w:rPr>
            </w:pPr>
            <w:r>
              <w:rPr>
                <w:rFonts w:ascii="Arial" w:hAnsi="Arial" w:cs="Arial"/>
                <w:sz w:val="24"/>
                <w:szCs w:val="24"/>
              </w:rPr>
              <w:t>Lack of mentorship</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1F2ADE0">
            <w:pPr>
              <w:rPr>
                <w:rFonts w:ascii="Arial" w:hAnsi="Arial" w:cs="Arial"/>
                <w:sz w:val="24"/>
                <w:szCs w:val="24"/>
              </w:rPr>
            </w:pPr>
            <w:r>
              <w:rPr>
                <w:rFonts w:ascii="Arial" w:hAnsi="Arial" w:cs="Arial"/>
                <w:sz w:val="24"/>
                <w:szCs w:val="24"/>
              </w:rPr>
              <w:t>Weak supervision</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055DC5">
            <w:pPr>
              <w:rPr>
                <w:rFonts w:ascii="Arial" w:hAnsi="Arial" w:cs="Arial"/>
                <w:sz w:val="24"/>
                <w:szCs w:val="24"/>
              </w:rPr>
            </w:pPr>
            <w:bookmarkStart w:id="2" w:name="_Hlk218934841"/>
            <w:r>
              <w:rPr>
                <w:rFonts w:ascii="Arial" w:hAnsi="Arial" w:cs="Arial"/>
                <w:sz w:val="24"/>
                <w:szCs w:val="24"/>
              </w:rPr>
              <w:t>“In the last five years, almost none.”</w:t>
            </w:r>
            <w:bookmarkEnd w:id="2"/>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16EAF78E">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27C3C6">
            <w:pPr>
              <w:rPr>
                <w:rFonts w:ascii="Arial" w:hAnsi="Arial" w:cs="Arial"/>
                <w:sz w:val="24"/>
                <w:szCs w:val="24"/>
              </w:rPr>
            </w:pPr>
            <w:r>
              <w:rPr>
                <w:rFonts w:ascii="Arial" w:hAnsi="Arial" w:cs="Arial"/>
                <w:sz w:val="24"/>
                <w:szCs w:val="24"/>
              </w:rPr>
              <w:t>Teachers lack guidance and professional mentoring.</w:t>
            </w:r>
          </w:p>
        </w:tc>
      </w:tr>
      <w:tr w14:paraId="5D9A0990">
        <w:tblPrEx>
          <w:tblCellMar>
            <w:top w:w="15" w:type="dxa"/>
            <w:left w:w="15" w:type="dxa"/>
            <w:bottom w:w="15" w:type="dxa"/>
            <w:right w:w="15" w:type="dxa"/>
          </w:tblCellMar>
        </w:tblPrEx>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47B2016D">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ED9F06">
            <w:pPr>
              <w:rPr>
                <w:rFonts w:ascii="Arial" w:hAnsi="Arial" w:cs="Arial"/>
                <w:sz w:val="24"/>
                <w:szCs w:val="24"/>
              </w:rPr>
            </w:pPr>
            <w:r>
              <w:rPr>
                <w:rFonts w:ascii="Arial" w:hAnsi="Arial" w:cs="Arial"/>
                <w:sz w:val="24"/>
                <w:szCs w:val="24"/>
              </w:rPr>
              <w:t>Need for mentors</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0FA5649">
            <w:pPr>
              <w:rPr>
                <w:rFonts w:ascii="Arial" w:hAnsi="Arial" w:cs="Arial"/>
                <w:sz w:val="24"/>
                <w:szCs w:val="24"/>
              </w:rPr>
            </w:pPr>
            <w:r>
              <w:rPr>
                <w:rFonts w:ascii="Arial" w:hAnsi="Arial" w:cs="Arial"/>
                <w:sz w:val="24"/>
                <w:szCs w:val="24"/>
              </w:rPr>
              <w:t>External expertise</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ECD15B2">
            <w:pPr>
              <w:rPr>
                <w:rFonts w:ascii="Arial" w:hAnsi="Arial" w:cs="Arial"/>
                <w:sz w:val="24"/>
                <w:szCs w:val="24"/>
              </w:rPr>
            </w:pPr>
            <w:bookmarkStart w:id="3" w:name="_Hlk218934863"/>
            <w:r>
              <w:rPr>
                <w:rFonts w:ascii="Arial" w:hAnsi="Arial" w:cs="Arial"/>
                <w:sz w:val="24"/>
                <w:szCs w:val="24"/>
              </w:rPr>
              <w:t>“We need mentors... people from universities.”</w:t>
            </w:r>
            <w:bookmarkEnd w:id="3"/>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7CC62C12">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995A9A5">
            <w:pPr>
              <w:rPr>
                <w:rFonts w:ascii="Arial" w:hAnsi="Arial" w:cs="Arial"/>
                <w:sz w:val="24"/>
                <w:szCs w:val="24"/>
              </w:rPr>
            </w:pPr>
            <w:r>
              <w:rPr>
                <w:rFonts w:ascii="Arial" w:hAnsi="Arial" w:cs="Arial"/>
                <w:sz w:val="24"/>
                <w:szCs w:val="24"/>
              </w:rPr>
              <w:t>External support is needed for leadership growth.</w:t>
            </w:r>
          </w:p>
        </w:tc>
      </w:tr>
      <w:tr w14:paraId="6A207063">
        <w:tblPrEx>
          <w:tblCellMar>
            <w:top w:w="15" w:type="dxa"/>
            <w:left w:w="15" w:type="dxa"/>
            <w:bottom w:w="15" w:type="dxa"/>
            <w:right w:w="15" w:type="dxa"/>
          </w:tblCellMar>
        </w:tblPrEx>
        <w:tc>
          <w:tcPr>
            <w:tcW w:w="0" w:type="auto"/>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96DC55B">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339316B">
            <w:pPr>
              <w:rPr>
                <w:rFonts w:ascii="Arial" w:hAnsi="Arial" w:cs="Arial"/>
                <w:sz w:val="24"/>
                <w:szCs w:val="24"/>
              </w:rPr>
            </w:pPr>
            <w:r>
              <w:rPr>
                <w:rFonts w:ascii="Arial" w:hAnsi="Arial" w:cs="Arial"/>
                <w:sz w:val="24"/>
                <w:szCs w:val="24"/>
              </w:rPr>
              <w:t>Confidence through leadership</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4298500">
            <w:pPr>
              <w:rPr>
                <w:rFonts w:ascii="Arial" w:hAnsi="Arial" w:cs="Arial"/>
                <w:sz w:val="24"/>
                <w:szCs w:val="24"/>
              </w:rPr>
            </w:pPr>
            <w:r>
              <w:rPr>
                <w:rFonts w:ascii="Arial" w:hAnsi="Arial" w:cs="Arial"/>
                <w:sz w:val="24"/>
                <w:szCs w:val="24"/>
              </w:rPr>
              <w:t>Personal growth</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E03483">
            <w:pPr>
              <w:rPr>
                <w:rFonts w:ascii="Arial" w:hAnsi="Arial" w:cs="Arial"/>
                <w:sz w:val="24"/>
                <w:szCs w:val="24"/>
              </w:rPr>
            </w:pPr>
            <w:bookmarkStart w:id="4" w:name="_Hlk218934876"/>
            <w:r>
              <w:rPr>
                <w:rFonts w:ascii="Arial" w:hAnsi="Arial" w:cs="Arial"/>
                <w:sz w:val="24"/>
                <w:szCs w:val="24"/>
              </w:rPr>
              <w:t>“It builds confidence.”</w:t>
            </w:r>
            <w:bookmarkEnd w:id="4"/>
          </w:p>
        </w:tc>
        <w:tc>
          <w:tcPr>
            <w:tcW w:w="0" w:type="auto"/>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F4B3219">
            <w:pPr>
              <w:rPr>
                <w:rFonts w:ascii="Arial" w:hAnsi="Arial" w:cs="Arial"/>
                <w:sz w:val="24"/>
                <w:szCs w:val="24"/>
              </w:rPr>
            </w:pP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2CDBEE0">
            <w:pPr>
              <w:rPr>
                <w:rFonts w:ascii="Arial" w:hAnsi="Arial" w:cs="Arial"/>
                <w:sz w:val="24"/>
                <w:szCs w:val="24"/>
              </w:rPr>
            </w:pPr>
            <w:r>
              <w:rPr>
                <w:rFonts w:ascii="Arial" w:hAnsi="Arial" w:cs="Arial"/>
                <w:sz w:val="24"/>
                <w:szCs w:val="24"/>
              </w:rPr>
              <w:t>Leadership roles help improve self-efficacy.</w:t>
            </w:r>
          </w:p>
        </w:tc>
      </w:tr>
    </w:tbl>
    <w:p w14:paraId="79847E12">
      <w:pPr>
        <w:jc w:val="both"/>
        <w:rPr>
          <w:rFonts w:ascii="Arial" w:hAnsi="Arial" w:cs="Arial"/>
          <w:b/>
          <w:bCs/>
          <w:sz w:val="24"/>
          <w:szCs w:val="24"/>
        </w:rPr>
      </w:pPr>
    </w:p>
    <w:p w14:paraId="6AE57F42">
      <w:pPr>
        <w:jc w:val="both"/>
        <w:rPr>
          <w:rFonts w:ascii="Arial" w:hAnsi="Arial" w:cs="Arial"/>
          <w:b/>
          <w:bCs/>
          <w:sz w:val="24"/>
          <w:szCs w:val="24"/>
        </w:rPr>
      </w:pPr>
      <w:r>
        <w:rPr>
          <w:rFonts w:ascii="Arial" w:hAnsi="Arial" w:cs="Arial"/>
          <w:b/>
          <w:bCs/>
          <w:sz w:val="24"/>
          <w:szCs w:val="24"/>
        </w:rPr>
        <w:t>Theme 2: Inadequate and Irregular Training of Muslim Educators</w:t>
      </w:r>
    </w:p>
    <w:p w14:paraId="014FF799">
      <w:pPr>
        <w:ind w:firstLine="720"/>
        <w:jc w:val="both"/>
        <w:rPr>
          <w:rFonts w:ascii="Arial" w:hAnsi="Arial" w:cs="Arial"/>
          <w:sz w:val="24"/>
          <w:szCs w:val="24"/>
        </w:rPr>
      </w:pPr>
      <w:r>
        <w:rPr>
          <w:rFonts w:ascii="Arial" w:hAnsi="Arial" w:cs="Arial"/>
          <w:sz w:val="24"/>
          <w:szCs w:val="24"/>
        </w:rPr>
        <w:t>The findings indicate</w:t>
      </w:r>
      <w:r>
        <w:rPr>
          <w:rFonts w:hint="default" w:ascii="Arial" w:hAnsi="Arial" w:cs="Arial"/>
          <w:sz w:val="24"/>
          <w:szCs w:val="24"/>
          <w:lang w:val="en-US"/>
        </w:rPr>
        <w:t>d</w:t>
      </w:r>
      <w:r>
        <w:rPr>
          <w:rFonts w:ascii="Arial" w:hAnsi="Arial" w:cs="Arial"/>
          <w:sz w:val="24"/>
          <w:szCs w:val="24"/>
        </w:rPr>
        <w:t xml:space="preserve"> that Muslim educators in the study experience insufficient, irregular, and short-duration training programs, which adversely affects their professional growth and teaching effectiveness. Most professional development activities occur</w:t>
      </w:r>
      <w:r>
        <w:rPr>
          <w:rFonts w:hint="default" w:ascii="Arial" w:hAnsi="Arial" w:cs="Arial"/>
          <w:sz w:val="24"/>
          <w:szCs w:val="24"/>
          <w:lang w:val="en-US"/>
        </w:rPr>
        <w:t>ed</w:t>
      </w:r>
      <w:r>
        <w:rPr>
          <w:rFonts w:ascii="Arial" w:hAnsi="Arial" w:cs="Arial"/>
          <w:sz w:val="24"/>
          <w:szCs w:val="24"/>
        </w:rPr>
        <w:t xml:space="preserve"> once a year or even less frequently, and many seminars last only a single day. Participants reported that these brief sessions are inadequate for equipping them with the necessary skills in teaching methodology, classroom management, and curriculum planning. Some even expressed that they must rely on self-directed learning, often “learning by doing,” to compensate for the lack of structured training.</w:t>
      </w:r>
    </w:p>
    <w:p w14:paraId="73DA5C5B">
      <w:pPr>
        <w:ind w:firstLine="720"/>
        <w:jc w:val="both"/>
        <w:rPr>
          <w:rFonts w:ascii="Arial" w:hAnsi="Arial" w:cs="Arial"/>
          <w:sz w:val="24"/>
          <w:szCs w:val="24"/>
        </w:rPr>
      </w:pPr>
      <w:r>
        <w:rPr>
          <w:rFonts w:ascii="Arial" w:hAnsi="Arial" w:cs="Arial"/>
          <w:sz w:val="24"/>
          <w:szCs w:val="24"/>
        </w:rPr>
        <w:t>This pattern align</w:t>
      </w:r>
      <w:r>
        <w:rPr>
          <w:rFonts w:hint="default" w:ascii="Arial" w:hAnsi="Arial" w:cs="Arial"/>
          <w:sz w:val="24"/>
          <w:szCs w:val="24"/>
          <w:lang w:val="en-US"/>
        </w:rPr>
        <w:t>ed</w:t>
      </w:r>
      <w:r>
        <w:rPr>
          <w:rFonts w:ascii="Arial" w:hAnsi="Arial" w:cs="Arial"/>
          <w:sz w:val="24"/>
          <w:szCs w:val="24"/>
        </w:rPr>
        <w:t xml:space="preserve"> with previous research on teacher professional development, which emphasizes that short, sporadic training is generally ineffective in producing meaningful improvement in instructional practices (Darling-Hammond et al., 2017; Avalos, 2011). Sustained professional development that is ongoing, collaborative, and content-focused has been shown to significantly enhance teacher competence, classroom performance, and student outcomes (Guskey, 2002; Desimone, 2009). In the context of Islamic schools, where teaching often integrates both secular and religious curricula, the absence of continuous, structured professional development may compound challenges, leaving educators underprepared to handle diverse learning needs or to implement modern pedagogical strategies effectively (Arar et al., 2022). Below are some responses from the participants:</w:t>
      </w:r>
    </w:p>
    <w:p w14:paraId="1B15FC9C">
      <w:pPr>
        <w:ind w:firstLine="720"/>
        <w:rPr>
          <w:rFonts w:ascii="Arial" w:hAnsi="Arial" w:cs="Arial"/>
          <w:i/>
          <w:iCs/>
          <w:sz w:val="24"/>
          <w:szCs w:val="24"/>
        </w:rPr>
      </w:pPr>
      <w:r>
        <w:rPr>
          <w:rFonts w:ascii="Arial" w:hAnsi="Arial" w:cs="Arial"/>
          <w:sz w:val="24"/>
          <w:szCs w:val="24"/>
        </w:rPr>
        <w:tab/>
      </w:r>
      <w:r>
        <w:rPr>
          <w:rFonts w:ascii="Arial" w:hAnsi="Arial" w:cs="Arial"/>
          <w:i/>
          <w:iCs/>
          <w:sz w:val="24"/>
          <w:szCs w:val="24"/>
        </w:rPr>
        <w:t xml:space="preserve">“We don't have proper training. Our Madrasa is traditional.” </w:t>
      </w:r>
      <w:r>
        <w:rPr>
          <w:rFonts w:ascii="Arial" w:hAnsi="Arial" w:cs="Arial"/>
          <w:sz w:val="24"/>
          <w:szCs w:val="24"/>
        </w:rPr>
        <w:t>(IDI-P1)</w:t>
      </w:r>
    </w:p>
    <w:p w14:paraId="35889AC1">
      <w:pPr>
        <w:ind w:left="1440"/>
        <w:rPr>
          <w:rFonts w:ascii="Arial" w:hAnsi="Arial" w:cs="Arial"/>
          <w:i/>
          <w:iCs/>
          <w:sz w:val="24"/>
          <w:szCs w:val="24"/>
        </w:rPr>
      </w:pPr>
      <w:r>
        <w:rPr>
          <w:rFonts w:ascii="Arial" w:hAnsi="Arial" w:cs="Arial"/>
          <w:i/>
          <w:iCs/>
          <w:sz w:val="24"/>
          <w:szCs w:val="24"/>
        </w:rPr>
        <w:t xml:space="preserve">“Training is automatic but only occasional... maybe once in two years.” </w:t>
      </w:r>
      <w:r>
        <w:rPr>
          <w:rFonts w:ascii="Arial" w:hAnsi="Arial" w:cs="Arial"/>
          <w:sz w:val="24"/>
          <w:szCs w:val="24"/>
        </w:rPr>
        <w:t>(IDI-P1)</w:t>
      </w:r>
    </w:p>
    <w:p w14:paraId="54A5ACC9">
      <w:pPr>
        <w:ind w:left="1440"/>
        <w:rPr>
          <w:rFonts w:ascii="Arial" w:hAnsi="Arial" w:cs="Arial"/>
          <w:i/>
          <w:iCs/>
          <w:sz w:val="24"/>
          <w:szCs w:val="24"/>
        </w:rPr>
      </w:pPr>
      <w:r>
        <w:rPr>
          <w:rFonts w:ascii="Arial" w:hAnsi="Arial" w:cs="Arial"/>
          <w:i/>
          <w:iCs/>
          <w:sz w:val="24"/>
          <w:szCs w:val="24"/>
        </w:rPr>
        <w:t xml:space="preserve">“Just two days... once a year or once every two years.” </w:t>
      </w:r>
      <w:r>
        <w:rPr>
          <w:rFonts w:ascii="Arial" w:hAnsi="Arial" w:cs="Arial"/>
          <w:sz w:val="24"/>
          <w:szCs w:val="24"/>
        </w:rPr>
        <w:t>(IDI-P1)</w:t>
      </w:r>
    </w:p>
    <w:p w14:paraId="72E29094">
      <w:pPr>
        <w:ind w:left="1440"/>
        <w:rPr>
          <w:rFonts w:ascii="Arial" w:hAnsi="Arial" w:cs="Arial"/>
          <w:i/>
          <w:iCs/>
          <w:sz w:val="24"/>
          <w:szCs w:val="24"/>
        </w:rPr>
      </w:pPr>
      <w:r>
        <w:rPr>
          <w:rFonts w:ascii="Arial" w:hAnsi="Arial" w:cs="Arial"/>
          <w:i/>
          <w:iCs/>
          <w:sz w:val="24"/>
          <w:szCs w:val="24"/>
        </w:rPr>
        <w:t xml:space="preserve">“One day only... explanations are rushed.” </w:t>
      </w:r>
      <w:r>
        <w:rPr>
          <w:rFonts w:ascii="Arial" w:hAnsi="Arial" w:cs="Arial"/>
          <w:sz w:val="24"/>
          <w:szCs w:val="24"/>
        </w:rPr>
        <w:t>(IDI-P1)</w:t>
      </w:r>
    </w:p>
    <w:p w14:paraId="78D17DBD">
      <w:pPr>
        <w:ind w:left="1440"/>
        <w:rPr>
          <w:rFonts w:ascii="Arial" w:hAnsi="Arial" w:cs="Arial"/>
          <w:i/>
          <w:iCs/>
          <w:sz w:val="24"/>
          <w:szCs w:val="24"/>
        </w:rPr>
      </w:pPr>
      <w:r>
        <w:rPr>
          <w:rFonts w:ascii="Arial" w:hAnsi="Arial" w:cs="Arial"/>
          <w:i/>
          <w:iCs/>
          <w:sz w:val="24"/>
          <w:szCs w:val="24"/>
        </w:rPr>
        <w:t xml:space="preserve">“You end up training yourself... learning by doing.” </w:t>
      </w:r>
      <w:r>
        <w:rPr>
          <w:rFonts w:ascii="Arial" w:hAnsi="Arial" w:cs="Arial"/>
          <w:sz w:val="24"/>
          <w:szCs w:val="24"/>
        </w:rPr>
        <w:t>(IDI-P1)</w:t>
      </w:r>
    </w:p>
    <w:p w14:paraId="17D1C528">
      <w:pPr>
        <w:ind w:left="1440"/>
        <w:rPr>
          <w:rFonts w:ascii="Arial" w:hAnsi="Arial" w:cs="Arial"/>
          <w:i/>
          <w:iCs/>
          <w:sz w:val="24"/>
          <w:szCs w:val="24"/>
        </w:rPr>
      </w:pPr>
      <w:r>
        <w:rPr>
          <w:rFonts w:ascii="Arial" w:hAnsi="Arial" w:cs="Arial"/>
          <w:i/>
          <w:iCs/>
          <w:sz w:val="24"/>
          <w:szCs w:val="24"/>
        </w:rPr>
        <w:t>“We don't know proper teaching strategies</w:t>
      </w:r>
      <w:r>
        <w:rPr>
          <w:rFonts w:ascii="Arial" w:hAnsi="Arial" w:cs="Arial"/>
          <w:sz w:val="24"/>
          <w:szCs w:val="24"/>
        </w:rPr>
        <w:t>.” (IDI-P1)</w:t>
      </w:r>
    </w:p>
    <w:p w14:paraId="65854EFE">
      <w:pPr>
        <w:ind w:firstLine="720"/>
        <w:jc w:val="both"/>
        <w:rPr>
          <w:rFonts w:ascii="Arial" w:hAnsi="Arial" w:cs="Arial"/>
          <w:sz w:val="24"/>
          <w:szCs w:val="24"/>
        </w:rPr>
      </w:pPr>
      <w:r>
        <w:rPr>
          <w:rFonts w:ascii="Arial" w:hAnsi="Arial" w:cs="Arial"/>
          <w:sz w:val="24"/>
          <w:szCs w:val="24"/>
        </w:rPr>
        <w:t>Moreover, the reliance on self-directed learning can lead to inconsistencies in instructional quality across classrooms. While experiential learning is valuable, it cannot fully substitute for formal professional development, particularly in areas like pedagogical skills, curriculum design, and classroom management, which require guided practice and feedback. As indicated by participant responses, the prevailing approach results in a cycle of insufficient skill acquisition, limited teacher efficacy, and uneven student learning outcomes.</w:t>
      </w:r>
    </w:p>
    <w:p w14:paraId="463460B5">
      <w:pPr>
        <w:ind w:firstLine="720"/>
        <w:jc w:val="both"/>
        <w:rPr>
          <w:rFonts w:ascii="Arial" w:hAnsi="Arial" w:cs="Arial"/>
          <w:sz w:val="24"/>
          <w:szCs w:val="24"/>
        </w:rPr>
      </w:pPr>
      <w:r>
        <w:rPr>
          <w:rFonts w:ascii="Arial" w:hAnsi="Arial" w:cs="Arial"/>
          <w:sz w:val="24"/>
          <w:szCs w:val="24"/>
        </w:rPr>
        <w:t>The findings highlighted a pressing need for structured, ongoing, and multi-day training programs tailored to the specific needs of Muslim educators. Training should move beyond one-day seminars and incorporate follow-up sessions, mentoring, and peer collaboration. Sustained professional development supports skill retention and allows educators to implement new strategies effectively (Darling-Hammond et al., 2017).</w:t>
      </w:r>
    </w:p>
    <w:p w14:paraId="626ED1F3">
      <w:pPr>
        <w:ind w:firstLine="720"/>
        <w:jc w:val="both"/>
        <w:rPr>
          <w:rFonts w:ascii="Arial" w:hAnsi="Arial" w:cs="Arial"/>
          <w:sz w:val="24"/>
          <w:szCs w:val="24"/>
        </w:rPr>
      </w:pPr>
      <w:r>
        <w:rPr>
          <w:rFonts w:ascii="Arial" w:hAnsi="Arial" w:cs="Arial"/>
          <w:sz w:val="24"/>
          <w:szCs w:val="24"/>
        </w:rPr>
        <w:t>Training programs should prioritize</w:t>
      </w:r>
      <w:r>
        <w:rPr>
          <w:rFonts w:hint="default" w:ascii="Arial" w:hAnsi="Arial" w:cs="Arial"/>
          <w:sz w:val="24"/>
          <w:szCs w:val="24"/>
          <w:lang w:val="en-US"/>
        </w:rPr>
        <w:t>d</w:t>
      </w:r>
      <w:r>
        <w:rPr>
          <w:rFonts w:ascii="Arial" w:hAnsi="Arial" w:cs="Arial"/>
          <w:sz w:val="24"/>
          <w:szCs w:val="24"/>
        </w:rPr>
        <w:t xml:space="preserve"> teaching methodology, curriculum planning, and classroom management, as these areas were explicitly identified as gaps. Research demonstrate</w:t>
      </w:r>
      <w:r>
        <w:rPr>
          <w:rFonts w:hint="default" w:ascii="Arial" w:hAnsi="Arial" w:cs="Arial"/>
          <w:sz w:val="24"/>
          <w:szCs w:val="24"/>
          <w:lang w:val="en-US"/>
        </w:rPr>
        <w:t>d</w:t>
      </w:r>
      <w:r>
        <w:rPr>
          <w:rFonts w:ascii="Arial" w:hAnsi="Arial" w:cs="Arial"/>
          <w:sz w:val="24"/>
          <w:szCs w:val="24"/>
        </w:rPr>
        <w:t xml:space="preserve"> that targeted professional development in these domains leads to improved instructional quality and student engagement (Guskey, 2002; Desimone, 2009).</w:t>
      </w:r>
    </w:p>
    <w:p w14:paraId="50793B15">
      <w:pPr>
        <w:ind w:firstLine="720"/>
        <w:jc w:val="both"/>
        <w:rPr>
          <w:rFonts w:ascii="Arial" w:hAnsi="Arial" w:cs="Arial"/>
          <w:sz w:val="24"/>
          <w:szCs w:val="24"/>
        </w:rPr>
      </w:pPr>
      <w:r>
        <w:rPr>
          <w:rFonts w:ascii="Arial" w:hAnsi="Arial" w:cs="Arial"/>
          <w:sz w:val="24"/>
          <w:szCs w:val="24"/>
        </w:rPr>
        <w:t>Islamic schools must provide</w:t>
      </w:r>
      <w:r>
        <w:rPr>
          <w:rFonts w:hint="default" w:ascii="Arial" w:hAnsi="Arial" w:cs="Arial"/>
          <w:sz w:val="24"/>
          <w:szCs w:val="24"/>
          <w:lang w:val="en-US"/>
        </w:rPr>
        <w:t>d</w:t>
      </w:r>
      <w:r>
        <w:rPr>
          <w:rFonts w:ascii="Arial" w:hAnsi="Arial" w:cs="Arial"/>
          <w:sz w:val="24"/>
          <w:szCs w:val="24"/>
        </w:rPr>
        <w:t xml:space="preserve"> institutional mechanisms that encourage ongoing learning, such as regular workshops, in-school coaching, and professional learning communities. This not only enhances teacher competence but also promotes educational consistency across classrooms, mitigating disparities caused by self-directed learning alone (Avalos, 2011).</w:t>
      </w:r>
    </w:p>
    <w:p w14:paraId="55DC6C5E">
      <w:pPr>
        <w:ind w:firstLine="720"/>
        <w:jc w:val="both"/>
        <w:rPr>
          <w:rFonts w:ascii="Arial" w:hAnsi="Arial" w:cs="Arial"/>
          <w:sz w:val="24"/>
          <w:szCs w:val="24"/>
        </w:rPr>
      </w:pPr>
      <w:r>
        <w:rPr>
          <w:rFonts w:ascii="Arial" w:hAnsi="Arial" w:cs="Arial"/>
          <w:sz w:val="24"/>
          <w:szCs w:val="24"/>
        </w:rPr>
        <w:t>Given the traditional orientation of many madrasas, professional development should respect cultural and religious contexts while introducing evidence-based teaching practices. This dual approach fosters acceptance and practical implementation of new strategies (Arar et al., 2022).</w:t>
      </w:r>
    </w:p>
    <w:p w14:paraId="043646E4">
      <w:pPr>
        <w:jc w:val="both"/>
        <w:rPr>
          <w:rFonts w:ascii="Arial" w:hAnsi="Arial" w:cs="Arial"/>
          <w:b/>
          <w:bCs/>
          <w:sz w:val="24"/>
          <w:szCs w:val="24"/>
        </w:rPr>
      </w:pPr>
      <w:r>
        <w:rPr>
          <w:rFonts w:ascii="Arial" w:hAnsi="Arial" w:cs="Arial"/>
          <w:b/>
          <w:bCs/>
          <w:sz w:val="24"/>
          <w:szCs w:val="24"/>
        </w:rPr>
        <w:t>Theme 3: Financial and Structural Barriers in Islamic Schools</w:t>
      </w:r>
    </w:p>
    <w:p w14:paraId="314A4C28">
      <w:pPr>
        <w:ind w:firstLine="720"/>
        <w:jc w:val="both"/>
        <w:rPr>
          <w:rFonts w:ascii="Arial" w:hAnsi="Arial" w:cs="Arial"/>
          <w:sz w:val="28"/>
          <w:szCs w:val="28"/>
        </w:rPr>
      </w:pPr>
      <w:r>
        <w:rPr>
          <w:rFonts w:ascii="Arial" w:hAnsi="Arial" w:cs="Arial"/>
          <w:sz w:val="24"/>
          <w:szCs w:val="24"/>
        </w:rPr>
        <w:t>The findings highlight</w:t>
      </w:r>
      <w:r>
        <w:rPr>
          <w:rFonts w:hint="default" w:ascii="Arial" w:hAnsi="Arial" w:cs="Arial"/>
          <w:sz w:val="24"/>
          <w:szCs w:val="24"/>
          <w:lang w:val="en-US"/>
        </w:rPr>
        <w:t>ed</w:t>
      </w:r>
      <w:r>
        <w:rPr>
          <w:rFonts w:ascii="Arial" w:hAnsi="Arial" w:cs="Arial"/>
          <w:sz w:val="24"/>
          <w:szCs w:val="24"/>
        </w:rPr>
        <w:t xml:space="preserve"> that financial constraints and limited institutional support are critical factors contributing to training gaps among Muslim educators in Islamic schools. The participants’ responses consistently pointed to inadequate funding, low honoraria, and minimal access to essential learning materials and technological resources. Below are some responses from the participants reflected the systemic limitations faced by these schools. </w:t>
      </w:r>
    </w:p>
    <w:p w14:paraId="0A585E45">
      <w:pPr>
        <w:ind w:firstLine="720"/>
        <w:jc w:val="both"/>
        <w:rPr>
          <w:rFonts w:ascii="Arial" w:hAnsi="Arial" w:cs="Arial"/>
          <w:i/>
          <w:iCs/>
          <w:sz w:val="24"/>
          <w:szCs w:val="24"/>
        </w:rPr>
      </w:pPr>
      <w:r>
        <w:rPr>
          <w:rFonts w:ascii="Arial" w:hAnsi="Arial" w:cs="Arial"/>
          <w:sz w:val="24"/>
          <w:szCs w:val="24"/>
        </w:rPr>
        <w:tab/>
      </w:r>
      <w:r>
        <w:rPr>
          <w:rFonts w:ascii="Arial" w:hAnsi="Arial" w:cs="Arial"/>
          <w:i/>
          <w:iCs/>
          <w:sz w:val="24"/>
          <w:szCs w:val="24"/>
        </w:rPr>
        <w:t>“There's no government support... that's our reality.” (</w:t>
      </w:r>
      <w:r>
        <w:rPr>
          <w:rFonts w:ascii="Arial" w:hAnsi="Arial" w:cs="Arial"/>
          <w:sz w:val="24"/>
          <w:szCs w:val="24"/>
        </w:rPr>
        <w:t>IDI-P2</w:t>
      </w:r>
      <w:r>
        <w:rPr>
          <w:rFonts w:ascii="Arial" w:hAnsi="Arial" w:cs="Arial"/>
          <w:i/>
          <w:iCs/>
          <w:sz w:val="24"/>
          <w:szCs w:val="24"/>
        </w:rPr>
        <w:t>)</w:t>
      </w:r>
    </w:p>
    <w:p w14:paraId="7B253855">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“Sometimes only ₱15 per student.” (IDI-P2)</w:t>
      </w:r>
    </w:p>
    <w:p w14:paraId="5DEF08B7">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“Traditional Madrasah has no government support.” (IDI-P1)</w:t>
      </w:r>
    </w:p>
    <w:p w14:paraId="362E4DCA">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“We don't have books... we don't have equipment.” (IDI-P7)</w:t>
      </w:r>
    </w:p>
    <w:p w14:paraId="296B1B25">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“Even laptops are hard to support.” (IDI-P2)</w:t>
      </w:r>
    </w:p>
    <w:p w14:paraId="0CFD2F57">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“Still traditional. No upgrades.” (IDI-P2)</w:t>
      </w:r>
    </w:p>
    <w:p w14:paraId="680DC85D">
      <w:pPr>
        <w:ind w:firstLine="720"/>
        <w:jc w:val="both"/>
        <w:rPr>
          <w:rFonts w:ascii="Arial" w:hAnsi="Arial" w:cs="Arial"/>
          <w:sz w:val="24"/>
          <w:szCs w:val="24"/>
        </w:rPr>
      </w:pPr>
      <w:r>
        <w:rPr>
          <w:rFonts w:ascii="Arial" w:hAnsi="Arial" w:cs="Arial"/>
          <w:sz w:val="24"/>
          <w:szCs w:val="24"/>
        </w:rPr>
        <w:t>This lack of financial backing not only affects day-to-day operations but also restricts educators’ opportunities for professional development, access to updated pedagogical tools, and implementation of innovative teaching strategies.</w:t>
      </w:r>
    </w:p>
    <w:p w14:paraId="73CC749E">
      <w:pPr>
        <w:ind w:firstLine="720"/>
        <w:jc w:val="both"/>
        <w:rPr>
          <w:rFonts w:ascii="Arial" w:hAnsi="Arial" w:cs="Arial"/>
          <w:sz w:val="24"/>
          <w:szCs w:val="24"/>
        </w:rPr>
      </w:pPr>
      <w:r>
        <w:rPr>
          <w:rFonts w:ascii="Arial" w:hAnsi="Arial" w:cs="Arial"/>
          <w:sz w:val="24"/>
          <w:szCs w:val="24"/>
        </w:rPr>
        <w:t>The scenario in these Islamic schools is compounded by their dependence on community contributions and parental support. As privately funded institutions, the schools operate with constrained budgets, limiting their ability to organize workshops, acquire textbooks, or integrate technology into learning processes. This aligns with literature asserting that underfunded schools face challenges in providing continuous professional development and maintaining high-quality educational environments (UNESCO, 2015; Darling-Hammond et al., 2017). Without adequate resources, teachers are unable to participate in regular training, adopt modern teaching methods, or develop leadership competencies effectively.</w:t>
      </w:r>
    </w:p>
    <w:p w14:paraId="05A2D3A1">
      <w:pPr>
        <w:ind w:firstLine="720"/>
        <w:jc w:val="both"/>
        <w:rPr>
          <w:rFonts w:ascii="Arial" w:hAnsi="Arial" w:cs="Arial"/>
          <w:sz w:val="24"/>
          <w:szCs w:val="24"/>
        </w:rPr>
      </w:pPr>
      <w:r>
        <w:rPr>
          <w:rFonts w:ascii="Arial" w:hAnsi="Arial" w:cs="Arial"/>
          <w:sz w:val="24"/>
          <w:szCs w:val="24"/>
        </w:rPr>
        <w:t>Moreover, the lack of institutional and governmental support perpetuates the traditional operational model, preventing schools from adapting to the evolving educational landscape. Participants emphasized the absence of upgrades and modern facilities, which can affect both teaching quality and student outcomes. This observation resonates with findings by Arar, Sawalhi, and Yilmaz (2022), who noted that Islamic schools with limited funding struggle to implement leadership development programs and professional learning communities, which are essential for empowering educators and improving student learning outcomes.</w:t>
      </w:r>
    </w:p>
    <w:p w14:paraId="529D6F46">
      <w:pPr>
        <w:ind w:firstLine="720"/>
        <w:jc w:val="both"/>
        <w:rPr>
          <w:rFonts w:ascii="Arial" w:hAnsi="Arial" w:cs="Arial"/>
          <w:sz w:val="24"/>
          <w:szCs w:val="24"/>
        </w:rPr>
      </w:pPr>
      <w:r>
        <w:rPr>
          <w:rFonts w:ascii="Arial" w:hAnsi="Arial" w:cs="Arial"/>
          <w:sz w:val="24"/>
          <w:szCs w:val="24"/>
        </w:rPr>
        <w:t>The results underscore the urgent need for government and institutional support in Islamic education. Policies that provide financial aid, grants, or subsidies to private Islamic schools could enhance their capacity to deliver professional development programs and improve infrastructure.</w:t>
      </w:r>
    </w:p>
    <w:p w14:paraId="7CC2BB93">
      <w:pPr>
        <w:ind w:firstLine="720"/>
        <w:jc w:val="both"/>
        <w:rPr>
          <w:rFonts w:ascii="Arial" w:hAnsi="Arial" w:cs="Arial"/>
          <w:sz w:val="24"/>
          <w:szCs w:val="24"/>
        </w:rPr>
      </w:pPr>
      <w:r>
        <w:rPr>
          <w:rFonts w:ascii="Arial" w:hAnsi="Arial" w:cs="Arial"/>
          <w:sz w:val="24"/>
          <w:szCs w:val="24"/>
        </w:rPr>
        <w:t>Without sufficient resources, teachers’ professional growth remains constrained, affecting the overall quality of education. Targeted interventions, such as low-cost online training programs or partnerships with NGOs, could partially alleviate these challenges.</w:t>
      </w:r>
    </w:p>
    <w:p w14:paraId="55A2ECDD">
      <w:pPr>
        <w:ind w:firstLine="720"/>
        <w:jc w:val="both"/>
        <w:rPr>
          <w:rFonts w:ascii="Arial" w:hAnsi="Arial" w:cs="Arial"/>
          <w:sz w:val="24"/>
          <w:szCs w:val="24"/>
        </w:rPr>
      </w:pPr>
      <w:r>
        <w:rPr>
          <w:rFonts w:ascii="Arial" w:hAnsi="Arial" w:cs="Arial"/>
          <w:sz w:val="24"/>
          <w:szCs w:val="24"/>
        </w:rPr>
        <w:t>Limited access to technological tools restricts the adoption of innovative teaching methods. Strategic investments in educational technology and digital resources are crucial for modernizing teaching practices. Financial constraints hinder the development of leadership programs for educators. Supporting teacher leaders through training and mentoring programs could strengthen institutional capacity, even within budget-limited contexts.</w:t>
      </w:r>
    </w:p>
    <w:p w14:paraId="6665BADE">
      <w:pPr>
        <w:ind w:firstLine="720"/>
        <w:jc w:val="both"/>
        <w:rPr>
          <w:rFonts w:ascii="Arial" w:hAnsi="Arial" w:cs="Arial"/>
          <w:sz w:val="24"/>
          <w:szCs w:val="24"/>
        </w:rPr>
      </w:pPr>
      <w:r>
        <w:rPr>
          <w:rFonts w:ascii="Arial" w:hAnsi="Arial" w:cs="Arial"/>
          <w:sz w:val="24"/>
          <w:szCs w:val="24"/>
        </w:rPr>
        <w:t>In sum, these findings emphasize</w:t>
      </w:r>
      <w:r>
        <w:rPr>
          <w:rFonts w:hint="default" w:ascii="Arial" w:hAnsi="Arial" w:cs="Arial"/>
          <w:sz w:val="24"/>
          <w:szCs w:val="24"/>
          <w:lang w:val="en-US"/>
        </w:rPr>
        <w:t>d</w:t>
      </w:r>
      <w:r>
        <w:rPr>
          <w:rFonts w:ascii="Arial" w:hAnsi="Arial" w:cs="Arial"/>
          <w:sz w:val="24"/>
          <w:szCs w:val="24"/>
        </w:rPr>
        <w:t xml:space="preserve"> that financial and institutional support are foundational to addressing training gaps in Islamic schools. Investing in resources, professional development, and leadership programs </w:t>
      </w:r>
      <w:r>
        <w:rPr>
          <w:rFonts w:hint="default" w:ascii="Arial" w:hAnsi="Arial" w:cs="Arial"/>
          <w:sz w:val="24"/>
          <w:szCs w:val="24"/>
          <w:lang w:val="en-US"/>
        </w:rPr>
        <w:t>was</w:t>
      </w:r>
      <w:r>
        <w:rPr>
          <w:rFonts w:ascii="Arial" w:hAnsi="Arial" w:cs="Arial"/>
          <w:sz w:val="24"/>
          <w:szCs w:val="24"/>
        </w:rPr>
        <w:t xml:space="preserve"> critical not only for teacher empowerment but also for improving educational outcomes and sustaining the long-term growth of Islamic education.</w:t>
      </w:r>
    </w:p>
    <w:p w14:paraId="67BEB5A8">
      <w:pPr>
        <w:pStyle w:val="27"/>
        <w:suppressAutoHyphens w:val="0"/>
        <w:spacing w:after="160" w:line="240" w:lineRule="auto"/>
        <w:ind w:left="0"/>
        <w:contextualSpacing/>
        <w:jc w:val="both"/>
        <w:rPr>
          <w:rFonts w:ascii="Arial" w:hAnsi="Arial" w:cs="Arial"/>
          <w:b/>
          <w:bCs/>
          <w:i/>
          <w:iCs/>
          <w:sz w:val="24"/>
          <w:szCs w:val="24"/>
        </w:rPr>
      </w:pPr>
      <w:r>
        <w:rPr>
          <w:rFonts w:ascii="Arial" w:hAnsi="Arial" w:cs="Arial"/>
          <w:b/>
          <w:bCs/>
          <w:sz w:val="24"/>
          <w:szCs w:val="24"/>
        </w:rPr>
        <w:t xml:space="preserve">Table 2. </w:t>
      </w:r>
      <w:r>
        <w:rPr>
          <w:rFonts w:ascii="Arial" w:hAnsi="Arial" w:cs="Arial"/>
          <w:b/>
          <w:bCs/>
          <w:i/>
          <w:iCs/>
          <w:sz w:val="24"/>
          <w:szCs w:val="24"/>
        </w:rPr>
        <w:t>What challenges do Muslim educators face in accessing professional development and leadership training?</w:t>
      </w:r>
    </w:p>
    <w:tbl>
      <w:tblPr>
        <w:tblStyle w:val="9"/>
        <w:tblW w:w="5266" w:type="pct"/>
        <w:tblInd w:w="128" w:type="dxa"/>
        <w:tblLayout w:type="fixed"/>
        <w:tblCellMar>
          <w:top w:w="15" w:type="dxa"/>
          <w:left w:w="15" w:type="dxa"/>
          <w:bottom w:w="15" w:type="dxa"/>
          <w:right w:w="15" w:type="dxa"/>
        </w:tblCellMar>
      </w:tblPr>
      <w:tblGrid>
        <w:gridCol w:w="1645"/>
        <w:gridCol w:w="1460"/>
        <w:gridCol w:w="1654"/>
        <w:gridCol w:w="1752"/>
        <w:gridCol w:w="1752"/>
        <w:gridCol w:w="1848"/>
      </w:tblGrid>
      <w:tr w14:paraId="33C4D65B">
        <w:tblPrEx>
          <w:tblCellMar>
            <w:top w:w="15" w:type="dxa"/>
            <w:left w:w="15" w:type="dxa"/>
            <w:bottom w:w="15" w:type="dxa"/>
            <w:right w:w="15" w:type="dxa"/>
          </w:tblCellMar>
        </w:tblPrEx>
        <w:trPr>
          <w:tblHeader/>
        </w:trPr>
        <w:tc>
          <w:tcPr>
            <w:tcW w:w="152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1A4BD429">
            <w:pPr>
              <w:rPr>
                <w:rFonts w:ascii="Arial" w:hAnsi="Arial" w:cs="Arial"/>
                <w:b/>
                <w:bCs/>
                <w:sz w:val="24"/>
                <w:szCs w:val="24"/>
              </w:rPr>
            </w:pPr>
            <w:r>
              <w:rPr>
                <w:rFonts w:ascii="Arial" w:hAnsi="Arial" w:cs="Arial"/>
                <w:b/>
                <w:bCs/>
                <w:sz w:val="24"/>
                <w:szCs w:val="24"/>
              </w:rPr>
              <w:t>Issues Probed</w:t>
            </w:r>
          </w:p>
        </w:tc>
        <w:tc>
          <w:tcPr>
            <w:tcW w:w="135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6A16F279">
            <w:pPr>
              <w:rPr>
                <w:rFonts w:ascii="Arial" w:hAnsi="Arial" w:cs="Arial"/>
                <w:b/>
                <w:bCs/>
                <w:sz w:val="24"/>
                <w:szCs w:val="24"/>
              </w:rPr>
            </w:pPr>
            <w:r>
              <w:rPr>
                <w:rFonts w:ascii="Arial" w:hAnsi="Arial" w:cs="Arial"/>
                <w:b/>
                <w:bCs/>
                <w:sz w:val="24"/>
                <w:szCs w:val="24"/>
              </w:rPr>
              <w:t>Codes</w:t>
            </w:r>
          </w:p>
        </w:tc>
        <w:tc>
          <w:tcPr>
            <w:tcW w:w="153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0D60F409">
            <w:pPr>
              <w:rPr>
                <w:rFonts w:ascii="Arial" w:hAnsi="Arial" w:cs="Arial"/>
                <w:b/>
                <w:bCs/>
                <w:sz w:val="24"/>
                <w:szCs w:val="24"/>
              </w:rPr>
            </w:pPr>
            <w:r>
              <w:rPr>
                <w:rFonts w:ascii="Arial" w:hAnsi="Arial" w:cs="Arial"/>
                <w:b/>
                <w:bCs/>
                <w:sz w:val="24"/>
                <w:szCs w:val="24"/>
              </w:rPr>
              <w:t>Categories</w:t>
            </w:r>
          </w:p>
        </w:tc>
        <w:tc>
          <w:tcPr>
            <w:tcW w:w="162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B7EBC35">
            <w:pPr>
              <w:rPr>
                <w:rFonts w:ascii="Arial" w:hAnsi="Arial" w:cs="Arial"/>
                <w:b/>
                <w:bCs/>
                <w:sz w:val="24"/>
                <w:szCs w:val="24"/>
              </w:rPr>
            </w:pPr>
            <w:r>
              <w:rPr>
                <w:rFonts w:ascii="Arial" w:hAnsi="Arial" w:cs="Arial"/>
                <w:b/>
                <w:bCs/>
                <w:sz w:val="24"/>
                <w:szCs w:val="24"/>
              </w:rPr>
              <w:t>Signified Statements</w:t>
            </w:r>
          </w:p>
        </w:tc>
        <w:tc>
          <w:tcPr>
            <w:tcW w:w="162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28072D46">
            <w:pPr>
              <w:rPr>
                <w:rFonts w:ascii="Arial" w:hAnsi="Arial" w:cs="Arial"/>
                <w:b/>
                <w:bCs/>
                <w:sz w:val="24"/>
                <w:szCs w:val="24"/>
              </w:rPr>
            </w:pPr>
            <w:r>
              <w:rPr>
                <w:rFonts w:ascii="Arial" w:hAnsi="Arial" w:cs="Arial"/>
                <w:b/>
                <w:bCs/>
                <w:sz w:val="24"/>
                <w:szCs w:val="24"/>
              </w:rPr>
              <w:t>Themes</w:t>
            </w:r>
          </w:p>
        </w:tc>
        <w:tc>
          <w:tcPr>
            <w:tcW w:w="171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6609F1C">
            <w:pPr>
              <w:rPr>
                <w:rFonts w:ascii="Arial" w:hAnsi="Arial" w:cs="Arial"/>
                <w:b/>
                <w:bCs/>
                <w:sz w:val="24"/>
                <w:szCs w:val="24"/>
              </w:rPr>
            </w:pPr>
            <w:r>
              <w:rPr>
                <w:rFonts w:ascii="Arial" w:hAnsi="Arial" w:cs="Arial"/>
                <w:b/>
                <w:bCs/>
                <w:sz w:val="24"/>
                <w:szCs w:val="24"/>
              </w:rPr>
              <w:t>Meanings</w:t>
            </w:r>
          </w:p>
        </w:tc>
      </w:tr>
      <w:tr w14:paraId="5B430631">
        <w:tblPrEx>
          <w:tblCellMar>
            <w:top w:w="15" w:type="dxa"/>
            <w:left w:w="15" w:type="dxa"/>
            <w:bottom w:w="15" w:type="dxa"/>
            <w:right w:w="15" w:type="dxa"/>
          </w:tblCellMar>
        </w:tblPrEx>
        <w:tc>
          <w:tcPr>
            <w:tcW w:w="1522" w:type="dxa"/>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21602B17">
            <w:pPr>
              <w:rPr>
                <w:rFonts w:ascii="Arial" w:hAnsi="Arial" w:cs="Arial"/>
                <w:sz w:val="24"/>
                <w:szCs w:val="24"/>
              </w:rPr>
            </w:pPr>
          </w:p>
          <w:p w14:paraId="0161D685">
            <w:pPr>
              <w:rPr>
                <w:rFonts w:ascii="Arial" w:hAnsi="Arial" w:cs="Arial"/>
                <w:sz w:val="24"/>
                <w:szCs w:val="24"/>
              </w:rPr>
            </w:pPr>
          </w:p>
          <w:p w14:paraId="216F5288">
            <w:pPr>
              <w:rPr>
                <w:rFonts w:ascii="Arial" w:hAnsi="Arial" w:cs="Arial"/>
                <w:sz w:val="24"/>
                <w:szCs w:val="24"/>
              </w:rPr>
            </w:pPr>
          </w:p>
          <w:p w14:paraId="46BDF74F">
            <w:pPr>
              <w:rPr>
                <w:rFonts w:ascii="Arial" w:hAnsi="Arial" w:cs="Arial"/>
                <w:sz w:val="24"/>
                <w:szCs w:val="24"/>
              </w:rPr>
            </w:pPr>
          </w:p>
          <w:p w14:paraId="00C5771E">
            <w:pPr>
              <w:rPr>
                <w:rFonts w:ascii="Arial" w:hAnsi="Arial" w:cs="Arial"/>
                <w:sz w:val="24"/>
                <w:szCs w:val="24"/>
              </w:rPr>
            </w:pPr>
            <w:r>
              <w:rPr>
                <w:rFonts w:ascii="Arial" w:hAnsi="Arial" w:cs="Arial"/>
                <w:sz w:val="24"/>
                <w:szCs w:val="24"/>
              </w:rPr>
              <w:t>Challenges</w:t>
            </w: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2777ACA">
            <w:pPr>
              <w:rPr>
                <w:rFonts w:ascii="Arial" w:hAnsi="Arial" w:cs="Arial"/>
                <w:sz w:val="24"/>
                <w:szCs w:val="24"/>
              </w:rPr>
            </w:pPr>
            <w:r>
              <w:rPr>
                <w:rFonts w:ascii="Arial" w:hAnsi="Arial" w:cs="Arial"/>
                <w:sz w:val="24"/>
                <w:szCs w:val="24"/>
              </w:rPr>
              <w:t>Lack of formal training</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CAE5666">
            <w:pPr>
              <w:rPr>
                <w:rFonts w:ascii="Arial" w:hAnsi="Arial" w:cs="Arial"/>
                <w:sz w:val="24"/>
                <w:szCs w:val="24"/>
              </w:rPr>
            </w:pPr>
            <w:r>
              <w:rPr>
                <w:rFonts w:ascii="Arial" w:hAnsi="Arial" w:cs="Arial"/>
                <w:sz w:val="24"/>
                <w:szCs w:val="24"/>
              </w:rPr>
              <w:t>Insufficient professional development</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735632E">
            <w:pPr>
              <w:rPr>
                <w:rFonts w:ascii="Arial" w:hAnsi="Arial" w:cs="Arial"/>
                <w:sz w:val="24"/>
                <w:szCs w:val="24"/>
              </w:rPr>
            </w:pPr>
            <w:r>
              <w:rPr>
                <w:rFonts w:ascii="Arial" w:hAnsi="Arial" w:cs="Arial"/>
                <w:sz w:val="24"/>
                <w:szCs w:val="24"/>
              </w:rPr>
              <w:t>“We don't have proper training. Our Madrasa is traditional.”</w:t>
            </w:r>
          </w:p>
        </w:tc>
        <w:tc>
          <w:tcPr>
            <w:tcW w:w="1620" w:type="dxa"/>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162AAEEC">
            <w:pPr>
              <w:rPr>
                <w:rFonts w:ascii="Arial" w:hAnsi="Arial" w:cs="Arial"/>
                <w:sz w:val="24"/>
                <w:szCs w:val="24"/>
              </w:rPr>
            </w:pPr>
            <w:r>
              <w:rPr>
                <w:rFonts w:ascii="Arial" w:hAnsi="Arial" w:cs="Arial"/>
                <w:sz w:val="24"/>
                <w:szCs w:val="24"/>
              </w:rPr>
              <w:t>Inadequate and Irregular Training of Muslim Educators</w:t>
            </w: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E854F60">
            <w:pPr>
              <w:rPr>
                <w:rFonts w:ascii="Arial" w:hAnsi="Arial" w:cs="Arial"/>
                <w:sz w:val="24"/>
                <w:szCs w:val="24"/>
              </w:rPr>
            </w:pPr>
            <w:r>
              <w:rPr>
                <w:rFonts w:ascii="Arial" w:hAnsi="Arial" w:cs="Arial"/>
                <w:sz w:val="24"/>
                <w:szCs w:val="24"/>
              </w:rPr>
              <w:t>Teachers lack access to structured and formal professional development programs.</w:t>
            </w:r>
          </w:p>
        </w:tc>
      </w:tr>
      <w:tr w14:paraId="1A5AB581">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35516A6E">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6CD5A1">
            <w:pPr>
              <w:rPr>
                <w:rFonts w:ascii="Arial" w:hAnsi="Arial" w:cs="Arial"/>
                <w:sz w:val="24"/>
                <w:szCs w:val="24"/>
              </w:rPr>
            </w:pPr>
            <w:r>
              <w:rPr>
                <w:rFonts w:ascii="Arial" w:hAnsi="Arial" w:cs="Arial"/>
                <w:sz w:val="24"/>
                <w:szCs w:val="24"/>
              </w:rPr>
              <w:t>Occasional seminars</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D4C48E5">
            <w:pPr>
              <w:rPr>
                <w:rFonts w:ascii="Arial" w:hAnsi="Arial" w:cs="Arial"/>
                <w:sz w:val="24"/>
                <w:szCs w:val="24"/>
              </w:rPr>
            </w:pPr>
            <w:r>
              <w:rPr>
                <w:rFonts w:ascii="Arial" w:hAnsi="Arial" w:cs="Arial"/>
                <w:sz w:val="24"/>
                <w:szCs w:val="24"/>
              </w:rPr>
              <w:t>Infrequent seminars</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2955700">
            <w:pPr>
              <w:rPr>
                <w:rFonts w:ascii="Arial" w:hAnsi="Arial" w:cs="Arial"/>
                <w:sz w:val="24"/>
                <w:szCs w:val="24"/>
              </w:rPr>
            </w:pPr>
            <w:r>
              <w:rPr>
                <w:rFonts w:ascii="Arial" w:hAnsi="Arial" w:cs="Arial"/>
                <w:sz w:val="24"/>
                <w:szCs w:val="24"/>
              </w:rPr>
              <w:t>“Training is automatic but only occasional... maybe once in two years.”</w:t>
            </w:r>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463784B9">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AEB925C">
            <w:pPr>
              <w:rPr>
                <w:rFonts w:ascii="Arial" w:hAnsi="Arial" w:cs="Arial"/>
                <w:sz w:val="24"/>
                <w:szCs w:val="24"/>
              </w:rPr>
            </w:pPr>
            <w:r>
              <w:rPr>
                <w:rFonts w:ascii="Arial" w:hAnsi="Arial" w:cs="Arial"/>
                <w:sz w:val="24"/>
                <w:szCs w:val="24"/>
              </w:rPr>
              <w:t>Trainings are conducted irregularly and are not sustained.</w:t>
            </w:r>
          </w:p>
        </w:tc>
      </w:tr>
      <w:tr w14:paraId="22ACFEDA">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24F1E6CA">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F2F8D73">
            <w:pPr>
              <w:rPr>
                <w:rFonts w:ascii="Arial" w:hAnsi="Arial" w:cs="Arial"/>
                <w:sz w:val="24"/>
                <w:szCs w:val="24"/>
              </w:rPr>
            </w:pPr>
            <w:r>
              <w:rPr>
                <w:rFonts w:ascii="Arial" w:hAnsi="Arial" w:cs="Arial"/>
                <w:sz w:val="24"/>
                <w:szCs w:val="24"/>
              </w:rPr>
              <w:t>Short duration of training</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526C37">
            <w:pPr>
              <w:rPr>
                <w:rFonts w:ascii="Arial" w:hAnsi="Arial" w:cs="Arial"/>
                <w:sz w:val="24"/>
                <w:szCs w:val="24"/>
              </w:rPr>
            </w:pPr>
            <w:r>
              <w:rPr>
                <w:rFonts w:ascii="Arial" w:hAnsi="Arial" w:cs="Arial"/>
                <w:sz w:val="24"/>
                <w:szCs w:val="24"/>
              </w:rPr>
              <w:t>Limited training time</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B0E4224">
            <w:pPr>
              <w:rPr>
                <w:rFonts w:ascii="Arial" w:hAnsi="Arial" w:cs="Arial"/>
                <w:sz w:val="24"/>
                <w:szCs w:val="24"/>
              </w:rPr>
            </w:pPr>
            <w:r>
              <w:rPr>
                <w:rFonts w:ascii="Arial" w:hAnsi="Arial" w:cs="Arial"/>
                <w:sz w:val="24"/>
                <w:szCs w:val="24"/>
              </w:rPr>
              <w:t>“Just two days... once a year or once every two years.”</w:t>
            </w:r>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3D0C0F7B">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BAC890">
            <w:pPr>
              <w:rPr>
                <w:rFonts w:ascii="Arial" w:hAnsi="Arial" w:cs="Arial"/>
                <w:sz w:val="24"/>
                <w:szCs w:val="24"/>
              </w:rPr>
            </w:pPr>
            <w:r>
              <w:rPr>
                <w:rFonts w:ascii="Arial" w:hAnsi="Arial" w:cs="Arial"/>
                <w:sz w:val="24"/>
                <w:szCs w:val="24"/>
              </w:rPr>
              <w:t>Short training periods limit mastery of teaching skills.</w:t>
            </w:r>
          </w:p>
        </w:tc>
      </w:tr>
      <w:tr w14:paraId="3E6DF485">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61B9B00F">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BA41880">
            <w:pPr>
              <w:rPr>
                <w:rFonts w:ascii="Arial" w:hAnsi="Arial" w:cs="Arial"/>
                <w:sz w:val="24"/>
                <w:szCs w:val="24"/>
              </w:rPr>
            </w:pPr>
            <w:r>
              <w:rPr>
                <w:rFonts w:ascii="Arial" w:hAnsi="Arial" w:cs="Arial"/>
                <w:sz w:val="24"/>
                <w:szCs w:val="24"/>
              </w:rPr>
              <w:t>One-day seminars</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4CB34D">
            <w:pPr>
              <w:rPr>
                <w:rFonts w:ascii="Arial" w:hAnsi="Arial" w:cs="Arial"/>
                <w:sz w:val="24"/>
                <w:szCs w:val="24"/>
              </w:rPr>
            </w:pPr>
            <w:r>
              <w:rPr>
                <w:rFonts w:ascii="Arial" w:hAnsi="Arial" w:cs="Arial"/>
                <w:sz w:val="24"/>
                <w:szCs w:val="24"/>
              </w:rPr>
              <w:t>Rushed learning</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8771C9">
            <w:pPr>
              <w:rPr>
                <w:rFonts w:ascii="Arial" w:hAnsi="Arial" w:cs="Arial"/>
                <w:sz w:val="24"/>
                <w:szCs w:val="24"/>
              </w:rPr>
            </w:pPr>
            <w:r>
              <w:rPr>
                <w:rFonts w:ascii="Arial" w:hAnsi="Arial" w:cs="Arial"/>
                <w:sz w:val="24"/>
                <w:szCs w:val="24"/>
              </w:rPr>
              <w:t>“One day only... explanations are rushed.”</w:t>
            </w:r>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1524D336">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0C77205">
            <w:pPr>
              <w:rPr>
                <w:rFonts w:ascii="Arial" w:hAnsi="Arial" w:cs="Arial"/>
                <w:sz w:val="24"/>
                <w:szCs w:val="24"/>
              </w:rPr>
            </w:pPr>
            <w:r>
              <w:rPr>
                <w:rFonts w:ascii="Arial" w:hAnsi="Arial" w:cs="Arial"/>
                <w:sz w:val="24"/>
                <w:szCs w:val="24"/>
              </w:rPr>
              <w:t>Limited time prevents in-depth discussion and practice.</w:t>
            </w:r>
          </w:p>
        </w:tc>
      </w:tr>
      <w:tr w14:paraId="6DB8DFCB">
        <w:tblPrEx>
          <w:tblCellMar>
            <w:top w:w="15" w:type="dxa"/>
            <w:left w:w="15" w:type="dxa"/>
            <w:bottom w:w="15" w:type="dxa"/>
            <w:right w:w="15" w:type="dxa"/>
          </w:tblCellMar>
        </w:tblPrEx>
        <w:trPr>
          <w:trHeight w:val="2565" w:hRule="atLeast"/>
        </w:trPr>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1B4A6FD4">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B0E5DF">
            <w:pPr>
              <w:rPr>
                <w:rFonts w:ascii="Arial" w:hAnsi="Arial" w:cs="Arial"/>
                <w:sz w:val="24"/>
                <w:szCs w:val="24"/>
              </w:rPr>
            </w:pPr>
            <w:r>
              <w:rPr>
                <w:rFonts w:ascii="Arial" w:hAnsi="Arial" w:cs="Arial"/>
                <w:sz w:val="24"/>
                <w:szCs w:val="24"/>
              </w:rPr>
              <w:t>Self-learning</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A6F44EC">
            <w:pPr>
              <w:rPr>
                <w:rFonts w:ascii="Arial" w:hAnsi="Arial" w:cs="Arial"/>
                <w:sz w:val="24"/>
                <w:szCs w:val="24"/>
              </w:rPr>
            </w:pPr>
            <w:r>
              <w:rPr>
                <w:rFonts w:ascii="Arial" w:hAnsi="Arial" w:cs="Arial"/>
                <w:sz w:val="24"/>
                <w:szCs w:val="24"/>
              </w:rPr>
              <w:t>Learning by experience</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9B3F252">
            <w:pPr>
              <w:rPr>
                <w:rFonts w:ascii="Arial" w:hAnsi="Arial" w:cs="Arial"/>
                <w:sz w:val="24"/>
                <w:szCs w:val="24"/>
              </w:rPr>
            </w:pPr>
            <w:r>
              <w:rPr>
                <w:rFonts w:ascii="Arial" w:hAnsi="Arial" w:cs="Arial"/>
                <w:sz w:val="24"/>
                <w:szCs w:val="24"/>
              </w:rPr>
              <w:t>“You end up training yourself... learning by doing.”</w:t>
            </w:r>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7763EC6F">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724473">
            <w:pPr>
              <w:rPr>
                <w:rFonts w:ascii="Arial" w:hAnsi="Arial" w:cs="Arial"/>
                <w:sz w:val="24"/>
                <w:szCs w:val="24"/>
              </w:rPr>
            </w:pPr>
            <w:r>
              <w:rPr>
                <w:rFonts w:ascii="Arial" w:hAnsi="Arial" w:cs="Arial"/>
                <w:sz w:val="24"/>
                <w:szCs w:val="24"/>
              </w:rPr>
              <w:t>Teachers rely on self-effort due to lack of institutional support.</w:t>
            </w:r>
          </w:p>
        </w:tc>
      </w:tr>
      <w:tr w14:paraId="5ED590D2">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686E5DCA">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D10EFB6">
            <w:pPr>
              <w:rPr>
                <w:rFonts w:ascii="Arial" w:hAnsi="Arial" w:cs="Arial"/>
                <w:sz w:val="24"/>
                <w:szCs w:val="24"/>
              </w:rPr>
            </w:pPr>
            <w:r>
              <w:rPr>
                <w:rFonts w:ascii="Arial" w:hAnsi="Arial" w:cs="Arial"/>
                <w:sz w:val="24"/>
                <w:szCs w:val="24"/>
              </w:rPr>
              <w:t>Lack of methodology</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DC91772">
            <w:pPr>
              <w:rPr>
                <w:rFonts w:ascii="Arial" w:hAnsi="Arial" w:cs="Arial"/>
                <w:sz w:val="24"/>
                <w:szCs w:val="24"/>
              </w:rPr>
            </w:pPr>
            <w:r>
              <w:rPr>
                <w:rFonts w:ascii="Arial" w:hAnsi="Arial" w:cs="Arial"/>
                <w:sz w:val="24"/>
                <w:szCs w:val="24"/>
              </w:rPr>
              <w:t>Weak pedagogical skills</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69553D8">
            <w:pPr>
              <w:rPr>
                <w:rFonts w:ascii="Arial" w:hAnsi="Arial" w:cs="Arial"/>
                <w:sz w:val="24"/>
                <w:szCs w:val="24"/>
              </w:rPr>
            </w:pPr>
            <w:r>
              <w:rPr>
                <w:rFonts w:ascii="Arial" w:hAnsi="Arial" w:cs="Arial"/>
                <w:sz w:val="24"/>
                <w:szCs w:val="24"/>
              </w:rPr>
              <w:t>“We don't know proper teaching strategies.”</w:t>
            </w:r>
          </w:p>
        </w:tc>
        <w:tc>
          <w:tcPr>
            <w:tcW w:w="1620" w:type="dxa"/>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9BE60BC">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791C8E9">
            <w:pPr>
              <w:rPr>
                <w:rFonts w:ascii="Arial" w:hAnsi="Arial" w:cs="Arial"/>
                <w:sz w:val="24"/>
                <w:szCs w:val="24"/>
              </w:rPr>
            </w:pPr>
            <w:r>
              <w:rPr>
                <w:rFonts w:ascii="Arial" w:hAnsi="Arial" w:cs="Arial"/>
                <w:sz w:val="24"/>
                <w:szCs w:val="24"/>
              </w:rPr>
              <w:t>Teachers struggle with effective instructional strategies.</w:t>
            </w:r>
          </w:p>
        </w:tc>
      </w:tr>
      <w:tr w14:paraId="4C9EF348">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4221C3FF">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468E335">
            <w:pPr>
              <w:rPr>
                <w:rFonts w:ascii="Arial" w:hAnsi="Arial" w:cs="Arial"/>
                <w:sz w:val="24"/>
                <w:szCs w:val="24"/>
              </w:rPr>
            </w:pPr>
            <w:r>
              <w:rPr>
                <w:rFonts w:ascii="Arial" w:hAnsi="Arial" w:cs="Arial"/>
                <w:sz w:val="24"/>
                <w:szCs w:val="24"/>
              </w:rPr>
              <w:t>Financial constraints</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6E12C5D">
            <w:pPr>
              <w:rPr>
                <w:rFonts w:ascii="Arial" w:hAnsi="Arial" w:cs="Arial"/>
                <w:sz w:val="24"/>
                <w:szCs w:val="24"/>
              </w:rPr>
            </w:pPr>
            <w:r>
              <w:rPr>
                <w:rFonts w:ascii="Arial" w:hAnsi="Arial" w:cs="Arial"/>
                <w:sz w:val="24"/>
                <w:szCs w:val="24"/>
              </w:rPr>
              <w:t>Budget limitations</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76FC9E5">
            <w:pPr>
              <w:rPr>
                <w:rFonts w:ascii="Arial" w:hAnsi="Arial" w:cs="Arial"/>
                <w:sz w:val="24"/>
                <w:szCs w:val="24"/>
              </w:rPr>
            </w:pPr>
            <w:r>
              <w:rPr>
                <w:rFonts w:ascii="Arial" w:hAnsi="Arial" w:cs="Arial"/>
                <w:sz w:val="24"/>
                <w:szCs w:val="24"/>
              </w:rPr>
              <w:t>“There's no government support... that's our reality.”</w:t>
            </w:r>
          </w:p>
        </w:tc>
        <w:tc>
          <w:tcPr>
            <w:tcW w:w="1620" w:type="dxa"/>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46A1356D">
            <w:pPr>
              <w:rPr>
                <w:rFonts w:ascii="Arial" w:hAnsi="Arial" w:cs="Arial"/>
                <w:sz w:val="24"/>
                <w:szCs w:val="24"/>
              </w:rPr>
            </w:pPr>
            <w:r>
              <w:rPr>
                <w:rFonts w:ascii="Arial" w:hAnsi="Arial" w:cs="Arial"/>
                <w:sz w:val="24"/>
                <w:szCs w:val="24"/>
              </w:rPr>
              <w:t>Financial and Structural Barriers in Islamic Schools</w:t>
            </w: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18B6B45">
            <w:pPr>
              <w:rPr>
                <w:rFonts w:ascii="Arial" w:hAnsi="Arial" w:cs="Arial"/>
                <w:sz w:val="24"/>
                <w:szCs w:val="24"/>
              </w:rPr>
            </w:pPr>
            <w:r>
              <w:rPr>
                <w:rFonts w:ascii="Arial" w:hAnsi="Arial" w:cs="Arial"/>
                <w:sz w:val="24"/>
                <w:szCs w:val="24"/>
              </w:rPr>
              <w:t>Financial problems hinder access to quality training.</w:t>
            </w:r>
          </w:p>
        </w:tc>
      </w:tr>
      <w:tr w14:paraId="53810AD0">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08E7FA5C">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7C4FCC">
            <w:pPr>
              <w:rPr>
                <w:rFonts w:ascii="Arial" w:hAnsi="Arial" w:cs="Arial"/>
                <w:sz w:val="24"/>
                <w:szCs w:val="24"/>
              </w:rPr>
            </w:pPr>
            <w:r>
              <w:rPr>
                <w:rFonts w:ascii="Arial" w:hAnsi="Arial" w:cs="Arial"/>
                <w:sz w:val="24"/>
                <w:szCs w:val="24"/>
              </w:rPr>
              <w:t>Low honorarium</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A0E1DAD">
            <w:pPr>
              <w:rPr>
                <w:rFonts w:ascii="Arial" w:hAnsi="Arial" w:cs="Arial"/>
                <w:sz w:val="24"/>
                <w:szCs w:val="24"/>
              </w:rPr>
            </w:pPr>
            <w:r>
              <w:rPr>
                <w:rFonts w:ascii="Arial" w:hAnsi="Arial" w:cs="Arial"/>
                <w:sz w:val="24"/>
                <w:szCs w:val="24"/>
              </w:rPr>
              <w:t>Insufficient compensation</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A954425">
            <w:pPr>
              <w:rPr>
                <w:rFonts w:ascii="Arial" w:hAnsi="Arial" w:cs="Arial"/>
                <w:sz w:val="24"/>
                <w:szCs w:val="24"/>
              </w:rPr>
            </w:pPr>
            <w:bookmarkStart w:id="5" w:name="_Hlk218934231"/>
            <w:r>
              <w:rPr>
                <w:rFonts w:ascii="Arial" w:hAnsi="Arial" w:cs="Arial"/>
                <w:sz w:val="24"/>
                <w:szCs w:val="24"/>
              </w:rPr>
              <w:t>“Sometimes only ₱15 per student.”</w:t>
            </w:r>
            <w:bookmarkEnd w:id="5"/>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4B643886">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ED95AE6">
            <w:pPr>
              <w:rPr>
                <w:rFonts w:ascii="Arial" w:hAnsi="Arial" w:cs="Arial"/>
                <w:sz w:val="24"/>
                <w:szCs w:val="24"/>
              </w:rPr>
            </w:pPr>
            <w:r>
              <w:rPr>
                <w:rFonts w:ascii="Arial" w:hAnsi="Arial" w:cs="Arial"/>
                <w:sz w:val="24"/>
                <w:szCs w:val="24"/>
              </w:rPr>
              <w:t>Low salary affects motivation and sustainability.</w:t>
            </w:r>
          </w:p>
        </w:tc>
      </w:tr>
      <w:tr w14:paraId="6A217F13">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18889E90">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C37BB5A">
            <w:pPr>
              <w:rPr>
                <w:rFonts w:ascii="Arial" w:hAnsi="Arial" w:cs="Arial"/>
                <w:sz w:val="24"/>
                <w:szCs w:val="24"/>
              </w:rPr>
            </w:pPr>
            <w:r>
              <w:rPr>
                <w:rFonts w:ascii="Arial" w:hAnsi="Arial" w:cs="Arial"/>
                <w:sz w:val="24"/>
                <w:szCs w:val="24"/>
              </w:rPr>
              <w:t>No government subsidy</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1B38A6">
            <w:pPr>
              <w:rPr>
                <w:rFonts w:ascii="Arial" w:hAnsi="Arial" w:cs="Arial"/>
                <w:sz w:val="24"/>
                <w:szCs w:val="24"/>
              </w:rPr>
            </w:pPr>
            <w:r>
              <w:rPr>
                <w:rFonts w:ascii="Arial" w:hAnsi="Arial" w:cs="Arial"/>
                <w:sz w:val="24"/>
                <w:szCs w:val="24"/>
              </w:rPr>
              <w:t>Absence of state support</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C5900AF">
            <w:pPr>
              <w:rPr>
                <w:rFonts w:ascii="Arial" w:hAnsi="Arial" w:cs="Arial"/>
                <w:sz w:val="24"/>
                <w:szCs w:val="24"/>
              </w:rPr>
            </w:pPr>
            <w:bookmarkStart w:id="6" w:name="_Hlk218934252"/>
            <w:r>
              <w:rPr>
                <w:rFonts w:ascii="Arial" w:hAnsi="Arial" w:cs="Arial"/>
                <w:sz w:val="24"/>
                <w:szCs w:val="24"/>
              </w:rPr>
              <w:t>“Traditional Madrasah has no government support.”</w:t>
            </w:r>
            <w:bookmarkEnd w:id="6"/>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5D7C253F">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EADBC66">
            <w:pPr>
              <w:rPr>
                <w:rFonts w:ascii="Arial" w:hAnsi="Arial" w:cs="Arial"/>
                <w:sz w:val="24"/>
                <w:szCs w:val="24"/>
              </w:rPr>
            </w:pPr>
            <w:r>
              <w:rPr>
                <w:rFonts w:ascii="Arial" w:hAnsi="Arial" w:cs="Arial"/>
                <w:sz w:val="24"/>
                <w:szCs w:val="24"/>
              </w:rPr>
              <w:t>Islamic schools operate independently with limited resources.</w:t>
            </w:r>
          </w:p>
        </w:tc>
      </w:tr>
      <w:tr w14:paraId="4FB598BC">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2214FD02">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A3AE7EE">
            <w:pPr>
              <w:rPr>
                <w:rFonts w:ascii="Arial" w:hAnsi="Arial" w:cs="Arial"/>
                <w:sz w:val="24"/>
                <w:szCs w:val="24"/>
              </w:rPr>
            </w:pPr>
            <w:r>
              <w:rPr>
                <w:rFonts w:ascii="Arial" w:hAnsi="Arial" w:cs="Arial"/>
                <w:sz w:val="24"/>
                <w:szCs w:val="24"/>
              </w:rPr>
              <w:t>Lack of materials</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E063C2">
            <w:pPr>
              <w:rPr>
                <w:rFonts w:ascii="Arial" w:hAnsi="Arial" w:cs="Arial"/>
                <w:sz w:val="24"/>
                <w:szCs w:val="24"/>
              </w:rPr>
            </w:pPr>
            <w:r>
              <w:rPr>
                <w:rFonts w:ascii="Arial" w:hAnsi="Arial" w:cs="Arial"/>
                <w:sz w:val="24"/>
                <w:szCs w:val="24"/>
              </w:rPr>
              <w:t>Limited learning resources</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B600290">
            <w:pPr>
              <w:rPr>
                <w:rFonts w:ascii="Arial" w:hAnsi="Arial" w:cs="Arial"/>
                <w:sz w:val="24"/>
                <w:szCs w:val="24"/>
              </w:rPr>
            </w:pPr>
            <w:bookmarkStart w:id="7" w:name="_Hlk218934264"/>
            <w:r>
              <w:rPr>
                <w:rFonts w:ascii="Arial" w:hAnsi="Arial" w:cs="Arial"/>
                <w:sz w:val="24"/>
                <w:szCs w:val="24"/>
              </w:rPr>
              <w:t>“We don't have books... we don't have equipment.”</w:t>
            </w:r>
            <w:bookmarkEnd w:id="7"/>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4D4F162B">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E1250E0">
            <w:pPr>
              <w:rPr>
                <w:rFonts w:ascii="Arial" w:hAnsi="Arial" w:cs="Arial"/>
                <w:sz w:val="24"/>
                <w:szCs w:val="24"/>
              </w:rPr>
            </w:pPr>
            <w:r>
              <w:rPr>
                <w:rFonts w:ascii="Arial" w:hAnsi="Arial" w:cs="Arial"/>
                <w:sz w:val="24"/>
                <w:szCs w:val="24"/>
              </w:rPr>
              <w:t>Teaching effectiveness is reduced due to lack of resources.</w:t>
            </w:r>
          </w:p>
        </w:tc>
      </w:tr>
      <w:tr w14:paraId="508E25C6">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04B14BC7">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0B4BEDA">
            <w:pPr>
              <w:rPr>
                <w:rFonts w:ascii="Arial" w:hAnsi="Arial" w:cs="Arial"/>
                <w:sz w:val="24"/>
                <w:szCs w:val="24"/>
              </w:rPr>
            </w:pPr>
            <w:r>
              <w:rPr>
                <w:rFonts w:ascii="Arial" w:hAnsi="Arial" w:cs="Arial"/>
                <w:sz w:val="24"/>
                <w:szCs w:val="24"/>
              </w:rPr>
              <w:t>No technology</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0A7574">
            <w:pPr>
              <w:rPr>
                <w:rFonts w:ascii="Arial" w:hAnsi="Arial" w:cs="Arial"/>
                <w:sz w:val="24"/>
                <w:szCs w:val="24"/>
              </w:rPr>
            </w:pPr>
            <w:r>
              <w:rPr>
                <w:rFonts w:ascii="Arial" w:hAnsi="Arial" w:cs="Arial"/>
                <w:sz w:val="24"/>
                <w:szCs w:val="24"/>
              </w:rPr>
              <w:t>Poor tech integration</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948CF31">
            <w:pPr>
              <w:rPr>
                <w:rFonts w:ascii="Arial" w:hAnsi="Arial" w:cs="Arial"/>
                <w:sz w:val="24"/>
                <w:szCs w:val="24"/>
              </w:rPr>
            </w:pPr>
            <w:bookmarkStart w:id="8" w:name="_Hlk218934284"/>
            <w:r>
              <w:rPr>
                <w:rFonts w:ascii="Arial" w:hAnsi="Arial" w:cs="Arial"/>
                <w:sz w:val="24"/>
                <w:szCs w:val="24"/>
              </w:rPr>
              <w:t>“Even laptops are hard to support.”</w:t>
            </w:r>
            <w:bookmarkEnd w:id="8"/>
          </w:p>
        </w:tc>
        <w:tc>
          <w:tcPr>
            <w:tcW w:w="1620" w:type="dxa"/>
            <w:vMerge w:val="continue"/>
            <w:tcBorders>
              <w:left w:val="single" w:color="DDDDDD" w:sz="6" w:space="0"/>
              <w:right w:val="single" w:color="DDDDDD" w:sz="6" w:space="0"/>
            </w:tcBorders>
            <w:tcMar>
              <w:top w:w="120" w:type="dxa"/>
              <w:left w:w="120" w:type="dxa"/>
              <w:bottom w:w="120" w:type="dxa"/>
              <w:right w:w="120" w:type="dxa"/>
            </w:tcMar>
            <w:vAlign w:val="center"/>
          </w:tcPr>
          <w:p w14:paraId="19413B6F">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691C060">
            <w:pPr>
              <w:rPr>
                <w:rFonts w:ascii="Arial" w:hAnsi="Arial" w:cs="Arial"/>
                <w:sz w:val="24"/>
                <w:szCs w:val="24"/>
              </w:rPr>
            </w:pPr>
            <w:r>
              <w:rPr>
                <w:rFonts w:ascii="Arial" w:hAnsi="Arial" w:cs="Arial"/>
                <w:sz w:val="24"/>
                <w:szCs w:val="24"/>
              </w:rPr>
              <w:t>Digital learning is difficult to implement.</w:t>
            </w:r>
          </w:p>
        </w:tc>
      </w:tr>
      <w:tr w14:paraId="26F6FA2C">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784C035B">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7299F84">
            <w:pPr>
              <w:rPr>
                <w:rFonts w:ascii="Arial" w:hAnsi="Arial" w:cs="Arial"/>
                <w:sz w:val="24"/>
                <w:szCs w:val="24"/>
              </w:rPr>
            </w:pPr>
            <w:r>
              <w:rPr>
                <w:rFonts w:ascii="Arial" w:hAnsi="Arial" w:cs="Arial"/>
                <w:sz w:val="24"/>
                <w:szCs w:val="24"/>
              </w:rPr>
              <w:t>Traditional system</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2D93C55">
            <w:pPr>
              <w:rPr>
                <w:rFonts w:ascii="Arial" w:hAnsi="Arial" w:cs="Arial"/>
                <w:sz w:val="24"/>
                <w:szCs w:val="24"/>
              </w:rPr>
            </w:pPr>
            <w:r>
              <w:rPr>
                <w:rFonts w:ascii="Arial" w:hAnsi="Arial" w:cs="Arial"/>
                <w:sz w:val="24"/>
                <w:szCs w:val="24"/>
              </w:rPr>
              <w:t>Outdated practices</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2EC5741">
            <w:pPr>
              <w:rPr>
                <w:rFonts w:ascii="Arial" w:hAnsi="Arial" w:cs="Arial"/>
                <w:sz w:val="24"/>
                <w:szCs w:val="24"/>
              </w:rPr>
            </w:pPr>
            <w:bookmarkStart w:id="9" w:name="_Hlk218934298"/>
            <w:r>
              <w:rPr>
                <w:rFonts w:ascii="Arial" w:hAnsi="Arial" w:cs="Arial"/>
                <w:sz w:val="24"/>
                <w:szCs w:val="24"/>
              </w:rPr>
              <w:t>“Still traditional. No upgrades.”</w:t>
            </w:r>
            <w:bookmarkEnd w:id="9"/>
          </w:p>
        </w:tc>
        <w:tc>
          <w:tcPr>
            <w:tcW w:w="1620" w:type="dxa"/>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DC324D">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D829E12">
            <w:pPr>
              <w:rPr>
                <w:rFonts w:ascii="Arial" w:hAnsi="Arial" w:cs="Arial"/>
                <w:sz w:val="24"/>
                <w:szCs w:val="24"/>
              </w:rPr>
            </w:pPr>
            <w:r>
              <w:rPr>
                <w:rFonts w:ascii="Arial" w:hAnsi="Arial" w:cs="Arial"/>
                <w:sz w:val="24"/>
                <w:szCs w:val="24"/>
              </w:rPr>
              <w:t>Teaching practices remain outdated.</w:t>
            </w:r>
          </w:p>
        </w:tc>
      </w:tr>
      <w:tr w14:paraId="7F7D15BB">
        <w:tblPrEx>
          <w:tblCellMar>
            <w:top w:w="15" w:type="dxa"/>
            <w:left w:w="15" w:type="dxa"/>
            <w:bottom w:w="15" w:type="dxa"/>
            <w:right w:w="15" w:type="dxa"/>
          </w:tblCellMar>
        </w:tblPrEx>
        <w:tc>
          <w:tcPr>
            <w:tcW w:w="1522" w:type="dxa"/>
            <w:vMerge w:val="continue"/>
            <w:tcBorders>
              <w:left w:val="single" w:color="DDDDDD" w:sz="6" w:space="0"/>
              <w:right w:val="single" w:color="DDDDDD" w:sz="6" w:space="0"/>
            </w:tcBorders>
            <w:tcMar>
              <w:top w:w="120" w:type="dxa"/>
              <w:left w:w="120" w:type="dxa"/>
              <w:bottom w:w="120" w:type="dxa"/>
              <w:right w:w="120" w:type="dxa"/>
            </w:tcMar>
            <w:vAlign w:val="center"/>
          </w:tcPr>
          <w:p w14:paraId="6BE83775">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6A47CAA">
            <w:pPr>
              <w:rPr>
                <w:rFonts w:ascii="Arial" w:hAnsi="Arial" w:cs="Arial"/>
                <w:sz w:val="24"/>
                <w:szCs w:val="24"/>
              </w:rPr>
            </w:pPr>
            <w:r>
              <w:rPr>
                <w:rFonts w:ascii="Arial" w:hAnsi="Arial" w:cs="Arial"/>
                <w:sz w:val="24"/>
                <w:szCs w:val="24"/>
              </w:rPr>
              <w:t>Dependence on religion</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F4F54A9">
            <w:pPr>
              <w:rPr>
                <w:rFonts w:ascii="Arial" w:hAnsi="Arial" w:cs="Arial"/>
                <w:sz w:val="24"/>
                <w:szCs w:val="24"/>
              </w:rPr>
            </w:pPr>
            <w:r>
              <w:rPr>
                <w:rFonts w:ascii="Arial" w:hAnsi="Arial" w:cs="Arial"/>
                <w:sz w:val="24"/>
                <w:szCs w:val="24"/>
              </w:rPr>
              <w:t>Faith-driven motivation</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6F9523">
            <w:pPr>
              <w:rPr>
                <w:rFonts w:ascii="Arial" w:hAnsi="Arial" w:cs="Arial"/>
                <w:sz w:val="24"/>
                <w:szCs w:val="24"/>
              </w:rPr>
            </w:pPr>
            <w:r>
              <w:rPr>
                <w:rFonts w:ascii="Arial" w:hAnsi="Arial" w:cs="Arial"/>
                <w:sz w:val="24"/>
                <w:szCs w:val="24"/>
              </w:rPr>
              <w:t>“Even without pay, we continue because of religion.”</w:t>
            </w:r>
          </w:p>
        </w:tc>
        <w:tc>
          <w:tcPr>
            <w:tcW w:w="1620" w:type="dxa"/>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00B92CF8">
            <w:pPr>
              <w:rPr>
                <w:rFonts w:ascii="Arial" w:hAnsi="Arial" w:cs="Arial"/>
                <w:sz w:val="24"/>
                <w:szCs w:val="24"/>
              </w:rPr>
            </w:pPr>
            <w:r>
              <w:rPr>
                <w:rFonts w:ascii="Arial" w:hAnsi="Arial" w:cs="Arial"/>
                <w:sz w:val="24"/>
                <w:szCs w:val="24"/>
              </w:rPr>
              <w:t>Religious Commitment as a Source of Resilience</w:t>
            </w: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AFEE3FC">
            <w:pPr>
              <w:rPr>
                <w:rFonts w:ascii="Arial" w:hAnsi="Arial" w:cs="Arial"/>
                <w:sz w:val="24"/>
                <w:szCs w:val="24"/>
              </w:rPr>
            </w:pPr>
            <w:r>
              <w:rPr>
                <w:rFonts w:ascii="Arial" w:hAnsi="Arial" w:cs="Arial"/>
                <w:sz w:val="24"/>
                <w:szCs w:val="24"/>
              </w:rPr>
              <w:t>Religious commitment sustains teachers despite hardships.</w:t>
            </w:r>
          </w:p>
        </w:tc>
      </w:tr>
      <w:tr w14:paraId="1A8860EC">
        <w:tblPrEx>
          <w:tblCellMar>
            <w:top w:w="15" w:type="dxa"/>
            <w:left w:w="15" w:type="dxa"/>
            <w:bottom w:w="15" w:type="dxa"/>
            <w:right w:w="15" w:type="dxa"/>
          </w:tblCellMar>
        </w:tblPrEx>
        <w:tc>
          <w:tcPr>
            <w:tcW w:w="1522" w:type="dxa"/>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CB7B4C5">
            <w:pPr>
              <w:rPr>
                <w:rFonts w:ascii="Arial" w:hAnsi="Arial" w:cs="Arial"/>
                <w:sz w:val="24"/>
                <w:szCs w:val="24"/>
              </w:rPr>
            </w:pPr>
          </w:p>
        </w:tc>
        <w:tc>
          <w:tcPr>
            <w:tcW w:w="135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E9EE3ED">
            <w:pPr>
              <w:rPr>
                <w:rFonts w:ascii="Arial" w:hAnsi="Arial" w:cs="Arial"/>
                <w:sz w:val="24"/>
                <w:szCs w:val="24"/>
              </w:rPr>
            </w:pPr>
            <w:r>
              <w:rPr>
                <w:rFonts w:ascii="Arial" w:hAnsi="Arial" w:cs="Arial"/>
                <w:sz w:val="24"/>
                <w:szCs w:val="24"/>
              </w:rPr>
              <w:t>Service to community</w:t>
            </w:r>
          </w:p>
        </w:tc>
        <w:tc>
          <w:tcPr>
            <w:tcW w:w="153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09AC667">
            <w:pPr>
              <w:rPr>
                <w:rFonts w:ascii="Arial" w:hAnsi="Arial" w:cs="Arial"/>
                <w:sz w:val="24"/>
                <w:szCs w:val="24"/>
              </w:rPr>
            </w:pPr>
            <w:r>
              <w:rPr>
                <w:rFonts w:ascii="Arial" w:hAnsi="Arial" w:cs="Arial"/>
                <w:sz w:val="24"/>
                <w:szCs w:val="24"/>
              </w:rPr>
              <w:t>Moral responsibility</w:t>
            </w:r>
          </w:p>
        </w:tc>
        <w:tc>
          <w:tcPr>
            <w:tcW w:w="162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CBA25F2">
            <w:pPr>
              <w:rPr>
                <w:rFonts w:ascii="Arial" w:hAnsi="Arial" w:cs="Arial"/>
                <w:sz w:val="24"/>
                <w:szCs w:val="24"/>
              </w:rPr>
            </w:pPr>
            <w:r>
              <w:rPr>
                <w:rFonts w:ascii="Arial" w:hAnsi="Arial" w:cs="Arial"/>
                <w:sz w:val="24"/>
                <w:szCs w:val="24"/>
              </w:rPr>
              <w:t>“Service to the community.”</w:t>
            </w:r>
          </w:p>
        </w:tc>
        <w:tc>
          <w:tcPr>
            <w:tcW w:w="1620" w:type="dxa"/>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4EAE86">
            <w:pPr>
              <w:rPr>
                <w:rFonts w:ascii="Arial" w:hAnsi="Arial" w:cs="Arial"/>
                <w:sz w:val="24"/>
                <w:szCs w:val="24"/>
              </w:rPr>
            </w:pPr>
          </w:p>
        </w:tc>
        <w:tc>
          <w:tcPr>
            <w:tcW w:w="17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18A1D07">
            <w:pPr>
              <w:rPr>
                <w:rFonts w:ascii="Arial" w:hAnsi="Arial" w:cs="Arial"/>
                <w:sz w:val="24"/>
                <w:szCs w:val="24"/>
              </w:rPr>
            </w:pPr>
            <w:r>
              <w:rPr>
                <w:rFonts w:ascii="Arial" w:hAnsi="Arial" w:cs="Arial"/>
                <w:sz w:val="24"/>
                <w:szCs w:val="24"/>
              </w:rPr>
              <w:t>Teaching is viewed as a religious and social duty.</w:t>
            </w:r>
          </w:p>
        </w:tc>
      </w:tr>
    </w:tbl>
    <w:p w14:paraId="7CFB0D3B">
      <w:pPr>
        <w:pStyle w:val="27"/>
        <w:suppressAutoHyphens w:val="0"/>
        <w:spacing w:after="160" w:line="240" w:lineRule="auto"/>
        <w:ind w:left="0"/>
        <w:contextualSpacing/>
        <w:jc w:val="both"/>
        <w:rPr>
          <w:rFonts w:ascii="Arial" w:hAnsi="Arial" w:cs="Arial"/>
          <w:b/>
          <w:bCs/>
          <w:i/>
          <w:iCs/>
          <w:sz w:val="24"/>
          <w:szCs w:val="24"/>
        </w:rPr>
      </w:pPr>
    </w:p>
    <w:p w14:paraId="463785EC">
      <w:pPr>
        <w:jc w:val="both"/>
        <w:rPr>
          <w:rFonts w:ascii="Arial" w:hAnsi="Arial" w:cs="Arial"/>
          <w:b/>
          <w:bCs/>
          <w:sz w:val="24"/>
          <w:szCs w:val="24"/>
        </w:rPr>
      </w:pPr>
      <w:r>
        <w:rPr>
          <w:rFonts w:ascii="Arial" w:hAnsi="Arial" w:cs="Arial"/>
          <w:b/>
          <w:bCs/>
          <w:sz w:val="24"/>
          <w:szCs w:val="24"/>
        </w:rPr>
        <w:t>Theme 4: Need for Systematic and Culturally Responsive Empowerment Strategies</w:t>
      </w:r>
    </w:p>
    <w:p w14:paraId="5B198161">
      <w:pPr>
        <w:ind w:firstLine="720"/>
        <w:jc w:val="both"/>
        <w:rPr>
          <w:rFonts w:ascii="Arial" w:hAnsi="Arial" w:cs="Arial"/>
          <w:sz w:val="24"/>
          <w:szCs w:val="24"/>
        </w:rPr>
      </w:pPr>
      <w:r>
        <w:rPr>
          <w:rFonts w:ascii="Arial" w:hAnsi="Arial" w:cs="Arial"/>
          <w:sz w:val="24"/>
          <w:szCs w:val="24"/>
        </w:rPr>
        <w:t>The findings indicate</w:t>
      </w:r>
      <w:r>
        <w:rPr>
          <w:rFonts w:hint="default" w:ascii="Arial" w:hAnsi="Arial" w:cs="Arial"/>
          <w:sz w:val="24"/>
          <w:szCs w:val="24"/>
          <w:lang w:val="en-US"/>
        </w:rPr>
        <w:t>d</w:t>
      </w:r>
      <w:r>
        <w:rPr>
          <w:rFonts w:ascii="Arial" w:hAnsi="Arial" w:cs="Arial"/>
          <w:sz w:val="24"/>
          <w:szCs w:val="24"/>
        </w:rPr>
        <w:t xml:space="preserve"> that empowering Muslim educators in Islamic schools requires regular and sustained professional development, job security, and strong institutional and community support. Participants consistently reported the absence or rarity of professional development opportunities, as reflected in statements below. This suggests that current professional development practices are insufficient to support continuous instructional improvement. Literature emphasizes that effective professional development must be ongoing, structured, and closely aligned with teachers’ instructional needs to positively influence teaching quality and student learning (Darling-Hammond, Hyler, &amp; Gardner, 2017). </w:t>
      </w:r>
    </w:p>
    <w:p w14:paraId="7C854D7C">
      <w:pPr>
        <w:ind w:firstLine="720"/>
        <w:jc w:val="both"/>
        <w:rPr>
          <w:rFonts w:ascii="Arial" w:hAnsi="Arial" w:cs="Arial"/>
          <w:sz w:val="24"/>
          <w:szCs w:val="24"/>
        </w:rPr>
      </w:pPr>
      <w:r>
        <w:rPr>
          <w:rFonts w:ascii="Arial" w:hAnsi="Arial" w:cs="Arial"/>
          <w:sz w:val="24"/>
          <w:szCs w:val="24"/>
        </w:rPr>
        <w:t xml:space="preserve">A significant finding of this study </w:t>
      </w:r>
      <w:r>
        <w:rPr>
          <w:rFonts w:hint="default" w:ascii="Arial" w:hAnsi="Arial" w:cs="Arial"/>
          <w:sz w:val="24"/>
          <w:szCs w:val="24"/>
          <w:lang w:val="en-US"/>
        </w:rPr>
        <w:t>was</w:t>
      </w:r>
      <w:r>
        <w:rPr>
          <w:rFonts w:ascii="Arial" w:hAnsi="Arial" w:cs="Arial"/>
          <w:sz w:val="24"/>
          <w:szCs w:val="24"/>
        </w:rPr>
        <w:t xml:space="preserve"> the emphasis on permanent teaching positions as a critical factor in teacher empowerment. The statement of participant highlighted how employment instability undermines motivation, commitment, and professional growth. Ingersoll, Merrill, and May (2014) found that job insecurity contributes to teacher attrition and weakens institutional capacity, particularly in private and faith-based schools. For Islamic schools, where educators often work under contractual or voluntary arrangements, the lack of permanence may further discourage long-term professional engagement.</w:t>
      </w:r>
    </w:p>
    <w:p w14:paraId="20FA99CA">
      <w:pPr>
        <w:jc w:val="both"/>
        <w:rPr>
          <w:rFonts w:ascii="Arial" w:hAnsi="Arial" w:cs="Arial"/>
          <w:sz w:val="28"/>
          <w:szCs w:val="28"/>
        </w:rPr>
      </w:pPr>
      <w:r>
        <w:rPr>
          <w:rFonts w:ascii="Arial" w:hAnsi="Arial" w:cs="Arial"/>
          <w:sz w:val="24"/>
          <w:szCs w:val="24"/>
        </w:rPr>
        <w:t>Below are the responses from the participants:</w:t>
      </w:r>
    </w:p>
    <w:p w14:paraId="48EAAB15">
      <w:pPr>
        <w:ind w:firstLine="720"/>
        <w:jc w:val="both"/>
        <w:rPr>
          <w:rFonts w:ascii="Arial" w:hAnsi="Arial" w:cs="Arial"/>
          <w:sz w:val="24"/>
          <w:szCs w:val="24"/>
        </w:rPr>
      </w:pPr>
      <w:r>
        <w:rPr>
          <w:rFonts w:ascii="Arial" w:hAnsi="Arial" w:cs="Arial"/>
          <w:sz w:val="24"/>
          <w:szCs w:val="24"/>
        </w:rPr>
        <w:tab/>
      </w:r>
      <w:r>
        <w:rPr>
          <w:rFonts w:ascii="Arial" w:hAnsi="Arial" w:cs="Arial"/>
          <w:i/>
          <w:iCs/>
          <w:sz w:val="24"/>
          <w:szCs w:val="24"/>
        </w:rPr>
        <w:t xml:space="preserve">“Rarely... almost none.” </w:t>
      </w:r>
      <w:r>
        <w:rPr>
          <w:rFonts w:ascii="Arial" w:hAnsi="Arial" w:cs="Arial"/>
          <w:sz w:val="24"/>
          <w:szCs w:val="24"/>
        </w:rPr>
        <w:t>(IDI-P2)</w:t>
      </w:r>
    </w:p>
    <w:p w14:paraId="6DB21027">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“Professional development should be regular.” </w:t>
      </w:r>
      <w:r>
        <w:rPr>
          <w:rFonts w:ascii="Arial" w:hAnsi="Arial" w:cs="Arial"/>
          <w:sz w:val="24"/>
          <w:szCs w:val="24"/>
        </w:rPr>
        <w:t>(IDI-P3)</w:t>
      </w:r>
    </w:p>
    <w:p w14:paraId="6322ABF7">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“The position should be permanent.” </w:t>
      </w:r>
      <w:r>
        <w:rPr>
          <w:rFonts w:ascii="Arial" w:hAnsi="Arial" w:cs="Arial"/>
          <w:sz w:val="24"/>
          <w:szCs w:val="24"/>
        </w:rPr>
        <w:t>(IDI-P3)</w:t>
      </w:r>
    </w:p>
    <w:p w14:paraId="442C100D">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“It is better to collaborate and be united.” </w:t>
      </w:r>
      <w:r>
        <w:rPr>
          <w:rFonts w:ascii="Arial" w:hAnsi="Arial" w:cs="Arial"/>
          <w:sz w:val="24"/>
          <w:szCs w:val="24"/>
        </w:rPr>
        <w:t>(IDI-P3)</w:t>
      </w:r>
    </w:p>
    <w:p w14:paraId="69709D15">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“Training should be more focused on the curriculum.” </w:t>
      </w:r>
      <w:r>
        <w:rPr>
          <w:rFonts w:ascii="Arial" w:hAnsi="Arial" w:cs="Arial"/>
          <w:sz w:val="24"/>
          <w:szCs w:val="24"/>
        </w:rPr>
        <w:t>(IDI-P4)</w:t>
      </w:r>
    </w:p>
    <w:p w14:paraId="20473115">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“Islamic culture and customs should be included.” </w:t>
      </w:r>
      <w:r>
        <w:rPr>
          <w:rFonts w:ascii="Arial" w:hAnsi="Arial" w:cs="Arial"/>
          <w:sz w:val="24"/>
          <w:szCs w:val="24"/>
        </w:rPr>
        <w:t>(IDI-P3)</w:t>
      </w:r>
    </w:p>
    <w:p w14:paraId="6632AF2B">
      <w:pPr>
        <w:ind w:firstLine="720"/>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 xml:space="preserve">“Support from community and stakeholders.” </w:t>
      </w:r>
      <w:r>
        <w:rPr>
          <w:rFonts w:ascii="Arial" w:hAnsi="Arial" w:cs="Arial"/>
          <w:sz w:val="24"/>
          <w:szCs w:val="24"/>
        </w:rPr>
        <w:t>(IDI-P6)</w:t>
      </w:r>
    </w:p>
    <w:p w14:paraId="4176FBD5">
      <w:pPr>
        <w:ind w:firstLine="720"/>
        <w:jc w:val="both"/>
        <w:rPr>
          <w:rFonts w:ascii="Arial" w:hAnsi="Arial" w:cs="Arial"/>
          <w:sz w:val="24"/>
          <w:szCs w:val="24"/>
        </w:rPr>
      </w:pPr>
      <w:r>
        <w:rPr>
          <w:rFonts w:ascii="Arial" w:hAnsi="Arial" w:cs="Arial"/>
          <w:i/>
          <w:iCs/>
          <w:sz w:val="24"/>
          <w:szCs w:val="24"/>
        </w:rPr>
        <w:tab/>
      </w:r>
      <w:r>
        <w:rPr>
          <w:rFonts w:ascii="Arial" w:hAnsi="Arial" w:cs="Arial"/>
          <w:i/>
          <w:iCs/>
          <w:sz w:val="24"/>
          <w:szCs w:val="24"/>
        </w:rPr>
        <w:t xml:space="preserve">“Maybe you will be the reason.” </w:t>
      </w:r>
      <w:r>
        <w:rPr>
          <w:rFonts w:ascii="Arial" w:hAnsi="Arial" w:cs="Arial"/>
          <w:sz w:val="24"/>
          <w:szCs w:val="24"/>
        </w:rPr>
        <w:t>(IDI-P6)</w:t>
      </w:r>
    </w:p>
    <w:p w14:paraId="0CA7F3D9">
      <w:pPr>
        <w:ind w:firstLine="720"/>
        <w:jc w:val="both"/>
        <w:rPr>
          <w:rFonts w:ascii="Arial" w:hAnsi="Arial" w:cs="Arial"/>
          <w:sz w:val="24"/>
          <w:szCs w:val="24"/>
        </w:rPr>
      </w:pPr>
      <w:r>
        <w:rPr>
          <w:rFonts w:ascii="Arial" w:hAnsi="Arial" w:cs="Arial"/>
          <w:sz w:val="24"/>
          <w:szCs w:val="24"/>
        </w:rPr>
        <w:t>Participants also stressed the importance of collaboration and unity</w:t>
      </w:r>
      <w:r>
        <w:rPr>
          <w:rFonts w:ascii="Arial" w:hAnsi="Arial" w:cs="Arial"/>
          <w:b/>
          <w:bCs/>
          <w:sz w:val="24"/>
          <w:szCs w:val="24"/>
        </w:rPr>
        <w:t xml:space="preserve">. </w:t>
      </w:r>
      <w:r>
        <w:rPr>
          <w:rFonts w:ascii="Arial" w:hAnsi="Arial" w:cs="Arial"/>
          <w:sz w:val="24"/>
          <w:szCs w:val="24"/>
        </w:rPr>
        <w:t>This underscored the need for professional learning communities and mentorship programs within Islamic schools. Collaborative professional cultures encourage reflective practice, shared responsibility, and collective efficacy, which are essential for sustained school improvement (Hargreaves &amp; O’Connor, 2018).</w:t>
      </w:r>
    </w:p>
    <w:p w14:paraId="22427AAA">
      <w:pPr>
        <w:ind w:firstLine="720"/>
        <w:jc w:val="both"/>
        <w:rPr>
          <w:rFonts w:ascii="Arial" w:hAnsi="Arial" w:cs="Arial"/>
          <w:sz w:val="24"/>
          <w:szCs w:val="24"/>
        </w:rPr>
      </w:pPr>
      <w:r>
        <w:rPr>
          <w:rFonts w:ascii="Arial" w:hAnsi="Arial" w:cs="Arial"/>
          <w:sz w:val="24"/>
          <w:szCs w:val="24"/>
        </w:rPr>
        <w:t xml:space="preserve">The call for curriculum-focused training indicated a mismatch between professional development content and classroom realities. Desimone and Garet (2015) assert that professional development is most effective when it is content-specific and directly connected to teachers’ daily instructional practices. In the context of Islamic schools, this includes aligning national curriculum standards with Islamic educational objectives. </w:t>
      </w:r>
    </w:p>
    <w:p w14:paraId="6B689363">
      <w:pPr>
        <w:ind w:firstLine="720"/>
        <w:jc w:val="both"/>
        <w:rPr>
          <w:rFonts w:ascii="Arial" w:hAnsi="Arial" w:cs="Arial"/>
          <w:sz w:val="24"/>
          <w:szCs w:val="24"/>
        </w:rPr>
      </w:pPr>
      <w:r>
        <w:rPr>
          <w:rFonts w:ascii="Arial" w:hAnsi="Arial" w:cs="Arial"/>
          <w:sz w:val="24"/>
          <w:szCs w:val="24"/>
        </w:rPr>
        <w:t xml:space="preserve">Furthermore, participants emphasized that Islamic culture and customs should be integrated into professional development programs. This finding reinforced the importance of culturally and religiously responsive empowerment strategies. Gay (2018) argues that culturally responsive professional development strengthens teacher identity, relevance, and effectiveness. Similarly, Arar, Sawalhi, and Yilmaz (2022) highlight that leadership and teacher development in Islamic schools must be grounded in Islamic values, ethics, and traditions to ensure acceptance and sustainability. </w:t>
      </w:r>
    </w:p>
    <w:p w14:paraId="25EB2FAF">
      <w:pPr>
        <w:ind w:firstLine="720"/>
        <w:jc w:val="both"/>
        <w:rPr>
          <w:rFonts w:ascii="Arial" w:hAnsi="Arial" w:cs="Arial"/>
          <w:sz w:val="24"/>
          <w:szCs w:val="24"/>
        </w:rPr>
      </w:pPr>
      <w:r>
        <w:rPr>
          <w:rFonts w:ascii="Arial" w:hAnsi="Arial" w:cs="Arial"/>
          <w:sz w:val="24"/>
          <w:szCs w:val="24"/>
        </w:rPr>
        <w:t>Finally, the recognition of community and stakeholder support</w:t>
      </w:r>
      <w:r>
        <w:rPr>
          <w:rFonts w:ascii="Arial" w:hAnsi="Arial" w:cs="Arial"/>
          <w:b/>
          <w:bCs/>
          <w:sz w:val="24"/>
          <w:szCs w:val="24"/>
        </w:rPr>
        <w:t xml:space="preserve"> </w:t>
      </w:r>
      <w:r>
        <w:rPr>
          <w:rFonts w:ascii="Arial" w:hAnsi="Arial" w:cs="Arial"/>
          <w:sz w:val="24"/>
          <w:szCs w:val="24"/>
        </w:rPr>
        <w:t>reflected the collective nature of Islamic education. Stakeholder involvement enhances resource mobilization, shared accountability, and institutional legitimacy (Khalifa, Gooden, &amp; Davis, 2016).</w:t>
      </w:r>
      <w:r>
        <w:rPr>
          <w:rFonts w:ascii="Arial" w:hAnsi="Arial" w:cs="Arial"/>
          <w:b/>
          <w:bCs/>
          <w:sz w:val="24"/>
          <w:szCs w:val="24"/>
        </w:rPr>
        <w:t xml:space="preserve"> </w:t>
      </w:r>
      <w:r>
        <w:rPr>
          <w:rFonts w:ascii="Arial" w:hAnsi="Arial" w:cs="Arial"/>
          <w:sz w:val="24"/>
          <w:szCs w:val="24"/>
        </w:rPr>
        <w:t>The hopeful statement also suggested a strong expectation for transformative leadership and systemic change within Islamic schools.</w:t>
      </w:r>
    </w:p>
    <w:p w14:paraId="4A9103A5">
      <w:pPr>
        <w:ind w:firstLine="720"/>
        <w:jc w:val="both"/>
        <w:rPr>
          <w:rFonts w:ascii="Arial" w:hAnsi="Arial" w:cs="Arial"/>
          <w:sz w:val="24"/>
          <w:szCs w:val="24"/>
        </w:rPr>
      </w:pPr>
      <w:r>
        <w:rPr>
          <w:rFonts w:ascii="Arial" w:hAnsi="Arial" w:cs="Arial"/>
          <w:sz w:val="24"/>
          <w:szCs w:val="24"/>
        </w:rPr>
        <w:t>Additionally, respondents highlighted the importance of collaboration, mentorship programs, stakeholder involvement, and technology integration. Empowerment strategies must also be culturally and religiously responsive, integrating Islamic values and traditions to ensure relevance and acceptance within Islamic schools. Research supports that culturally responsive professional development strengthens teacher identity and effectiveness (Gay, 2018).</w:t>
      </w:r>
    </w:p>
    <w:p w14:paraId="3845BE30">
      <w:pPr>
        <w:ind w:firstLine="720"/>
        <w:jc w:val="both"/>
        <w:rPr>
          <w:rFonts w:ascii="Arial" w:hAnsi="Arial" w:cs="Arial"/>
          <w:sz w:val="24"/>
          <w:szCs w:val="24"/>
        </w:rPr>
      </w:pPr>
      <w:r>
        <w:rPr>
          <w:rFonts w:ascii="Arial" w:hAnsi="Arial" w:cs="Arial"/>
          <w:sz w:val="24"/>
          <w:szCs w:val="24"/>
        </w:rPr>
        <w:t>Based on the findings, the following implications are drawn:</w:t>
      </w:r>
    </w:p>
    <w:p w14:paraId="669E0AD5">
      <w:pPr>
        <w:ind w:firstLine="720"/>
        <w:jc w:val="both"/>
        <w:rPr>
          <w:rFonts w:ascii="Arial" w:hAnsi="Arial" w:cs="Arial"/>
          <w:sz w:val="24"/>
          <w:szCs w:val="24"/>
        </w:rPr>
      </w:pPr>
      <w:r>
        <w:rPr>
          <w:rFonts w:ascii="Arial" w:hAnsi="Arial" w:cs="Arial"/>
          <w:sz w:val="24"/>
          <w:szCs w:val="24"/>
        </w:rPr>
        <w:t>First, Islamic school leaders should institutionalize</w:t>
      </w:r>
      <w:r>
        <w:rPr>
          <w:rFonts w:hint="default" w:ascii="Arial" w:hAnsi="Arial" w:cs="Arial"/>
          <w:sz w:val="24"/>
          <w:szCs w:val="24"/>
          <w:lang w:val="en-US"/>
        </w:rPr>
        <w:t>d</w:t>
      </w:r>
      <w:r>
        <w:rPr>
          <w:rFonts w:ascii="Arial" w:hAnsi="Arial" w:cs="Arial"/>
          <w:sz w:val="24"/>
          <w:szCs w:val="24"/>
        </w:rPr>
        <w:t xml:space="preserve"> regular and sustained professional development programs that are curriculum-focused, practice-oriented, and responsive to teachers’ needs. Establishing mentorship systems and collaborative learning communities can further strengthen teacher competence and unity.</w:t>
      </w:r>
    </w:p>
    <w:p w14:paraId="58126D96">
      <w:pPr>
        <w:ind w:firstLine="720"/>
        <w:jc w:val="both"/>
        <w:rPr>
          <w:rFonts w:ascii="Arial" w:hAnsi="Arial" w:cs="Arial"/>
          <w:sz w:val="24"/>
          <w:szCs w:val="24"/>
        </w:rPr>
      </w:pPr>
      <w:r>
        <w:rPr>
          <w:rFonts w:ascii="Arial" w:hAnsi="Arial" w:cs="Arial"/>
          <w:sz w:val="24"/>
          <w:szCs w:val="24"/>
        </w:rPr>
        <w:t>Second, there was a need to prioritized employment stability by creating permanent teaching positions in Islamic schools. Job security enhances teacher motivation, retention, and long-term commitment, which are essential for educational quality and continuity.</w:t>
      </w:r>
    </w:p>
    <w:p w14:paraId="5602F606">
      <w:pPr>
        <w:ind w:firstLine="720"/>
        <w:jc w:val="both"/>
        <w:rPr>
          <w:rFonts w:ascii="Arial" w:hAnsi="Arial" w:cs="Arial"/>
          <w:sz w:val="24"/>
          <w:szCs w:val="24"/>
        </w:rPr>
      </w:pPr>
      <w:r>
        <w:rPr>
          <w:rFonts w:ascii="Arial" w:hAnsi="Arial" w:cs="Arial"/>
          <w:sz w:val="24"/>
          <w:szCs w:val="24"/>
        </w:rPr>
        <w:t>Third, Training programs should be culturally and religiously responsive, integrating Islamic values, traditions, and educational philosophy alongside modern pedagogical approaches. This alignment ensure</w:t>
      </w:r>
      <w:r>
        <w:rPr>
          <w:rFonts w:hint="default" w:ascii="Arial" w:hAnsi="Arial" w:cs="Arial"/>
          <w:sz w:val="24"/>
          <w:szCs w:val="24"/>
          <w:lang w:val="en-US"/>
        </w:rPr>
        <w:t>d</w:t>
      </w:r>
      <w:r>
        <w:rPr>
          <w:rFonts w:ascii="Arial" w:hAnsi="Arial" w:cs="Arial"/>
          <w:sz w:val="24"/>
          <w:szCs w:val="24"/>
        </w:rPr>
        <w:t xml:space="preserve"> relevance and strengthens teachers’ professional identity.</w:t>
      </w:r>
    </w:p>
    <w:p w14:paraId="4AA5188C">
      <w:pPr>
        <w:ind w:firstLine="720"/>
        <w:jc w:val="both"/>
        <w:rPr>
          <w:rFonts w:ascii="Arial" w:hAnsi="Arial" w:cs="Arial"/>
          <w:sz w:val="24"/>
          <w:szCs w:val="24"/>
        </w:rPr>
      </w:pPr>
      <w:r>
        <w:rPr>
          <w:rFonts w:ascii="Arial" w:hAnsi="Arial" w:cs="Arial"/>
          <w:sz w:val="24"/>
          <w:szCs w:val="24"/>
        </w:rPr>
        <w:t>Fourt</w:t>
      </w:r>
      <w:r>
        <w:rPr>
          <w:rFonts w:hint="default" w:ascii="Arial" w:hAnsi="Arial" w:cs="Arial"/>
          <w:sz w:val="24"/>
          <w:szCs w:val="24"/>
          <w:lang w:val="en-US"/>
        </w:rPr>
        <w:t>h</w:t>
      </w:r>
      <w:r>
        <w:rPr>
          <w:rFonts w:ascii="Arial" w:hAnsi="Arial" w:cs="Arial"/>
          <w:sz w:val="24"/>
          <w:szCs w:val="24"/>
        </w:rPr>
        <w:t>, Active involvement of parents, religious leaders, and community stakeholders should be encouraged to support teacher empowerment initiatives, resource sharing, and collaborative decision-making.</w:t>
      </w:r>
    </w:p>
    <w:p w14:paraId="3AABA0EE">
      <w:pPr>
        <w:ind w:firstLine="720"/>
        <w:jc w:val="both"/>
        <w:rPr>
          <w:rFonts w:ascii="Arial" w:hAnsi="Arial" w:cs="Arial"/>
          <w:sz w:val="24"/>
          <w:szCs w:val="24"/>
        </w:rPr>
      </w:pPr>
      <w:r>
        <w:rPr>
          <w:rFonts w:ascii="Arial" w:hAnsi="Arial" w:cs="Arial"/>
          <w:sz w:val="24"/>
          <w:szCs w:val="24"/>
        </w:rPr>
        <w:t>Lastly, Future studies may explore the long-term impact of permanent employment and culturally responsive professional development on teacher performance and student outcomes in Islamic schools, using mixed-methods or comparative approaches.</w:t>
      </w:r>
    </w:p>
    <w:p w14:paraId="65499DC7">
      <w:pPr>
        <w:pStyle w:val="27"/>
        <w:suppressAutoHyphens w:val="0"/>
        <w:spacing w:after="160" w:line="240" w:lineRule="auto"/>
        <w:ind w:left="0"/>
        <w:contextualSpacing/>
        <w:jc w:val="both"/>
        <w:rPr>
          <w:rFonts w:ascii="Arial" w:hAnsi="Arial" w:cs="Arial"/>
          <w:b/>
          <w:bCs/>
          <w:i/>
          <w:iCs/>
          <w:sz w:val="24"/>
          <w:szCs w:val="24"/>
        </w:rPr>
      </w:pPr>
      <w:r>
        <w:rPr>
          <w:rFonts w:ascii="Arial" w:hAnsi="Arial" w:cs="Arial"/>
          <w:b/>
          <w:bCs/>
          <w:sz w:val="24"/>
          <w:szCs w:val="24"/>
        </w:rPr>
        <w:t xml:space="preserve">Table 3. </w:t>
      </w:r>
      <w:r>
        <w:rPr>
          <w:rFonts w:ascii="Arial" w:hAnsi="Arial" w:cs="Arial"/>
          <w:b/>
          <w:bCs/>
          <w:i/>
          <w:iCs/>
          <w:sz w:val="24"/>
          <w:szCs w:val="24"/>
        </w:rPr>
        <w:t>What strategies do Muslim educator suggest to bridge training gaps and enhance leadership skills?</w:t>
      </w:r>
    </w:p>
    <w:tbl>
      <w:tblPr>
        <w:tblStyle w:val="9"/>
        <w:tblW w:w="4928" w:type="pct"/>
        <w:tblInd w:w="128" w:type="dxa"/>
        <w:tblLayout w:type="autofit"/>
        <w:tblCellMar>
          <w:top w:w="15" w:type="dxa"/>
          <w:left w:w="15" w:type="dxa"/>
          <w:bottom w:w="15" w:type="dxa"/>
          <w:right w:w="15" w:type="dxa"/>
        </w:tblCellMar>
      </w:tblPr>
      <w:tblGrid>
        <w:gridCol w:w="1260"/>
        <w:gridCol w:w="1575"/>
        <w:gridCol w:w="1537"/>
        <w:gridCol w:w="1662"/>
        <w:gridCol w:w="1700"/>
        <w:gridCol w:w="1738"/>
      </w:tblGrid>
      <w:tr w14:paraId="5BDAA669">
        <w:tblPrEx>
          <w:tblCellMar>
            <w:top w:w="15" w:type="dxa"/>
            <w:left w:w="15" w:type="dxa"/>
            <w:bottom w:w="15" w:type="dxa"/>
            <w:right w:w="15" w:type="dxa"/>
          </w:tblCellMar>
        </w:tblPrEx>
        <w:trPr>
          <w:trHeight w:val="923" w:hRule="atLeast"/>
          <w:tblHeader/>
        </w:trPr>
        <w:tc>
          <w:tcPr>
            <w:tcW w:w="870" w:type="pct"/>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436DAE5">
            <w:pPr>
              <w:rPr>
                <w:rFonts w:ascii="Arial" w:hAnsi="Arial" w:cs="Arial"/>
                <w:b/>
                <w:bCs/>
                <w:sz w:val="24"/>
                <w:szCs w:val="24"/>
              </w:rPr>
            </w:pPr>
            <w:r>
              <w:rPr>
                <w:rFonts w:ascii="Arial" w:hAnsi="Arial" w:cs="Arial"/>
                <w:b/>
                <w:bCs/>
                <w:sz w:val="24"/>
                <w:szCs w:val="24"/>
              </w:rPr>
              <w:t>Issues Probed</w:t>
            </w:r>
          </w:p>
        </w:tc>
        <w:tc>
          <w:tcPr>
            <w:tcW w:w="629" w:type="pct"/>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77869D8">
            <w:pPr>
              <w:rPr>
                <w:rFonts w:ascii="Arial" w:hAnsi="Arial" w:cs="Arial"/>
                <w:b/>
                <w:bCs/>
                <w:sz w:val="24"/>
                <w:szCs w:val="24"/>
              </w:rPr>
            </w:pPr>
            <w:r>
              <w:rPr>
                <w:rFonts w:ascii="Arial" w:hAnsi="Arial" w:cs="Arial"/>
                <w:b/>
                <w:bCs/>
                <w:sz w:val="24"/>
                <w:szCs w:val="24"/>
              </w:rPr>
              <w:t>Codes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1815777">
            <w:pPr>
              <w:rPr>
                <w:rFonts w:ascii="Arial" w:hAnsi="Arial" w:cs="Arial"/>
                <w:b/>
                <w:bCs/>
                <w:sz w:val="24"/>
                <w:szCs w:val="24"/>
              </w:rPr>
            </w:pPr>
            <w:r>
              <w:rPr>
                <w:rFonts w:ascii="Arial" w:hAnsi="Arial" w:cs="Arial"/>
                <w:b/>
                <w:bCs/>
                <w:sz w:val="24"/>
                <w:szCs w:val="24"/>
              </w:rPr>
              <w:t>Categories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1A053B76">
            <w:pPr>
              <w:rPr>
                <w:rFonts w:ascii="Arial" w:hAnsi="Arial" w:cs="Arial"/>
                <w:b/>
                <w:bCs/>
                <w:sz w:val="24"/>
                <w:szCs w:val="24"/>
              </w:rPr>
            </w:pPr>
            <w:r>
              <w:rPr>
                <w:rFonts w:ascii="Arial" w:hAnsi="Arial" w:cs="Arial"/>
                <w:b/>
                <w:bCs/>
                <w:sz w:val="24"/>
                <w:szCs w:val="24"/>
              </w:rPr>
              <w:t>Signified Statements</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5C6DF6E">
            <w:pPr>
              <w:rPr>
                <w:rFonts w:ascii="Arial" w:hAnsi="Arial" w:cs="Arial"/>
                <w:b/>
                <w:bCs/>
                <w:sz w:val="24"/>
                <w:szCs w:val="24"/>
              </w:rPr>
            </w:pPr>
            <w:r>
              <w:rPr>
                <w:rFonts w:ascii="Arial" w:hAnsi="Arial" w:cs="Arial"/>
                <w:b/>
                <w:bCs/>
                <w:sz w:val="24"/>
                <w:szCs w:val="24"/>
              </w:rPr>
              <w:t>Themes</w:t>
            </w:r>
          </w:p>
        </w:tc>
        <w:tc>
          <w:tcPr>
            <w:tcW w:w="916" w:type="pct"/>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9765654">
            <w:pPr>
              <w:rPr>
                <w:rFonts w:ascii="Arial" w:hAnsi="Arial" w:cs="Arial"/>
                <w:b/>
                <w:bCs/>
                <w:sz w:val="24"/>
                <w:szCs w:val="24"/>
              </w:rPr>
            </w:pPr>
            <w:r>
              <w:rPr>
                <w:rFonts w:ascii="Arial" w:hAnsi="Arial" w:cs="Arial"/>
                <w:b/>
                <w:bCs/>
                <w:sz w:val="24"/>
                <w:szCs w:val="24"/>
              </w:rPr>
              <w:t>Meanings</w:t>
            </w:r>
          </w:p>
        </w:tc>
      </w:tr>
      <w:tr w14:paraId="1151CD65">
        <w:tblPrEx>
          <w:tblCellMar>
            <w:top w:w="15" w:type="dxa"/>
            <w:left w:w="15" w:type="dxa"/>
            <w:bottom w:w="15" w:type="dxa"/>
            <w:right w:w="15" w:type="dxa"/>
          </w:tblCellMar>
        </w:tblPrEx>
        <w:trPr>
          <w:trHeight w:val="1968" w:hRule="atLeast"/>
        </w:trPr>
        <w:tc>
          <w:tcPr>
            <w:tcW w:w="870" w:type="pct"/>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6E2EF870">
            <w:pPr>
              <w:rPr>
                <w:rFonts w:ascii="Arial" w:hAnsi="Arial" w:cs="Arial"/>
                <w:sz w:val="24"/>
                <w:szCs w:val="24"/>
              </w:rPr>
            </w:pPr>
            <w:r>
              <w:rPr>
                <w:rFonts w:ascii="Arial" w:hAnsi="Arial" w:cs="Arial"/>
                <w:sz w:val="24"/>
                <w:szCs w:val="24"/>
              </w:rPr>
              <w:t>Strategies</w:t>
            </w: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AFDC8EA">
            <w:pPr>
              <w:rPr>
                <w:rFonts w:ascii="Arial" w:hAnsi="Arial" w:cs="Arial"/>
                <w:sz w:val="24"/>
                <w:szCs w:val="24"/>
              </w:rPr>
            </w:pPr>
            <w:r>
              <w:rPr>
                <w:rFonts w:ascii="Arial" w:hAnsi="Arial" w:cs="Arial"/>
                <w:sz w:val="24"/>
                <w:szCs w:val="24"/>
              </w:rPr>
              <w:t>Monitoring gaps</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51185F6">
            <w:pPr>
              <w:rPr>
                <w:rFonts w:ascii="Arial" w:hAnsi="Arial" w:cs="Arial"/>
                <w:sz w:val="24"/>
                <w:szCs w:val="24"/>
              </w:rPr>
            </w:pPr>
            <w:r>
              <w:rPr>
                <w:rFonts w:ascii="Arial" w:hAnsi="Arial" w:cs="Arial"/>
                <w:sz w:val="24"/>
                <w:szCs w:val="24"/>
              </w:rPr>
              <w:t>Weak evaluation</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C4CF6BF">
            <w:pPr>
              <w:rPr>
                <w:rFonts w:ascii="Arial" w:hAnsi="Arial" w:cs="Arial"/>
                <w:sz w:val="24"/>
                <w:szCs w:val="24"/>
              </w:rPr>
            </w:pPr>
            <w:bookmarkStart w:id="10" w:name="_Hlk218935070"/>
            <w:r>
              <w:rPr>
                <w:rFonts w:ascii="Arial" w:hAnsi="Arial" w:cs="Arial"/>
                <w:sz w:val="24"/>
                <w:szCs w:val="24"/>
              </w:rPr>
              <w:t>“Rarely... almost none.”</w:t>
            </w:r>
            <w:bookmarkEnd w:id="10"/>
          </w:p>
        </w:tc>
        <w:tc>
          <w:tcPr>
            <w:tcW w:w="0" w:type="auto"/>
            <w:vMerge w:val="restart"/>
            <w:tcBorders>
              <w:top w:val="single" w:color="DDDDDD" w:sz="6" w:space="0"/>
              <w:left w:val="single" w:color="DDDDDD" w:sz="6" w:space="0"/>
              <w:right w:val="single" w:color="DDDDDD" w:sz="6" w:space="0"/>
            </w:tcBorders>
            <w:tcMar>
              <w:top w:w="120" w:type="dxa"/>
              <w:left w:w="120" w:type="dxa"/>
              <w:bottom w:w="120" w:type="dxa"/>
              <w:right w:w="120" w:type="dxa"/>
            </w:tcMar>
            <w:vAlign w:val="center"/>
          </w:tcPr>
          <w:p w14:paraId="0FA2E910">
            <w:pPr>
              <w:rPr>
                <w:rFonts w:ascii="Arial" w:hAnsi="Arial" w:cs="Arial"/>
                <w:sz w:val="24"/>
                <w:szCs w:val="24"/>
              </w:rPr>
            </w:pPr>
            <w:r>
              <w:rPr>
                <w:rFonts w:ascii="Arial" w:hAnsi="Arial" w:cs="Arial"/>
                <w:sz w:val="24"/>
                <w:szCs w:val="24"/>
              </w:rPr>
              <w:t>Need for Systematic Empowerment Strategies</w:t>
            </w: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D3BEF6">
            <w:pPr>
              <w:rPr>
                <w:rFonts w:ascii="Arial" w:hAnsi="Arial" w:cs="Arial"/>
                <w:sz w:val="24"/>
                <w:szCs w:val="24"/>
              </w:rPr>
            </w:pPr>
            <w:r>
              <w:rPr>
                <w:rFonts w:ascii="Arial" w:hAnsi="Arial" w:cs="Arial"/>
                <w:sz w:val="24"/>
                <w:szCs w:val="24"/>
              </w:rPr>
              <w:t>Lack of monitoring affects teaching quality.</w:t>
            </w:r>
          </w:p>
        </w:tc>
      </w:tr>
      <w:tr w14:paraId="66D9952B">
        <w:tblPrEx>
          <w:tblCellMar>
            <w:top w:w="15" w:type="dxa"/>
            <w:left w:w="15" w:type="dxa"/>
            <w:bottom w:w="15" w:type="dxa"/>
            <w:right w:w="15" w:type="dxa"/>
          </w:tblCellMar>
        </w:tblPrEx>
        <w:trPr>
          <w:trHeight w:val="1992"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0A415012">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A974BF">
            <w:pPr>
              <w:rPr>
                <w:rFonts w:ascii="Arial" w:hAnsi="Arial" w:cs="Arial"/>
                <w:sz w:val="24"/>
                <w:szCs w:val="24"/>
              </w:rPr>
            </w:pPr>
            <w:r>
              <w:rPr>
                <w:rFonts w:ascii="Arial" w:hAnsi="Arial" w:cs="Arial"/>
                <w:sz w:val="24"/>
                <w:szCs w:val="24"/>
              </w:rPr>
              <w:t>Need for regular PD</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DF06B53">
            <w:pPr>
              <w:rPr>
                <w:rFonts w:ascii="Arial" w:hAnsi="Arial" w:cs="Arial"/>
                <w:sz w:val="24"/>
                <w:szCs w:val="24"/>
              </w:rPr>
            </w:pPr>
            <w:r>
              <w:rPr>
                <w:rFonts w:ascii="Arial" w:hAnsi="Arial" w:cs="Arial"/>
                <w:sz w:val="24"/>
                <w:szCs w:val="24"/>
              </w:rPr>
              <w:t>Sustainable development</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B5221DF">
            <w:pPr>
              <w:rPr>
                <w:rFonts w:ascii="Arial" w:hAnsi="Arial" w:cs="Arial"/>
                <w:sz w:val="24"/>
                <w:szCs w:val="24"/>
              </w:rPr>
            </w:pPr>
            <w:bookmarkStart w:id="11" w:name="_Hlk218935204"/>
            <w:r>
              <w:rPr>
                <w:rFonts w:ascii="Arial" w:hAnsi="Arial" w:cs="Arial"/>
                <w:sz w:val="24"/>
                <w:szCs w:val="24"/>
              </w:rPr>
              <w:t>“Professional development should be regular.”</w:t>
            </w:r>
            <w:bookmarkEnd w:id="11"/>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18EA563C">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0FAF6C3">
            <w:pPr>
              <w:rPr>
                <w:rFonts w:ascii="Arial" w:hAnsi="Arial" w:cs="Arial"/>
                <w:sz w:val="24"/>
                <w:szCs w:val="24"/>
              </w:rPr>
            </w:pPr>
            <w:r>
              <w:rPr>
                <w:rFonts w:ascii="Arial" w:hAnsi="Arial" w:cs="Arial"/>
                <w:sz w:val="24"/>
                <w:szCs w:val="24"/>
              </w:rPr>
              <w:t>Continuous training is essential for effectiveness. ​</w:t>
            </w:r>
          </w:p>
        </w:tc>
      </w:tr>
      <w:tr w14:paraId="598A7369">
        <w:tblPrEx>
          <w:tblCellMar>
            <w:top w:w="15" w:type="dxa"/>
            <w:left w:w="15" w:type="dxa"/>
            <w:bottom w:w="15" w:type="dxa"/>
            <w:right w:w="15" w:type="dxa"/>
          </w:tblCellMar>
        </w:tblPrEx>
        <w:trPr>
          <w:trHeight w:val="1603"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443C760D">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E89ABFC">
            <w:pPr>
              <w:rPr>
                <w:rFonts w:ascii="Arial" w:hAnsi="Arial" w:cs="Arial"/>
                <w:sz w:val="24"/>
                <w:szCs w:val="24"/>
              </w:rPr>
            </w:pPr>
            <w:r>
              <w:rPr>
                <w:rFonts w:ascii="Arial" w:hAnsi="Arial" w:cs="Arial"/>
                <w:sz w:val="24"/>
                <w:szCs w:val="24"/>
              </w:rPr>
              <w:t>Permanent positions</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297C586">
            <w:pPr>
              <w:rPr>
                <w:rFonts w:ascii="Arial" w:hAnsi="Arial" w:cs="Arial"/>
                <w:sz w:val="24"/>
                <w:szCs w:val="24"/>
              </w:rPr>
            </w:pPr>
            <w:r>
              <w:rPr>
                <w:rFonts w:ascii="Arial" w:hAnsi="Arial" w:cs="Arial"/>
                <w:sz w:val="24"/>
                <w:szCs w:val="24"/>
              </w:rPr>
              <w:t>Job security</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381A3DB">
            <w:pPr>
              <w:rPr>
                <w:rFonts w:ascii="Arial" w:hAnsi="Arial" w:cs="Arial"/>
                <w:sz w:val="24"/>
                <w:szCs w:val="24"/>
              </w:rPr>
            </w:pPr>
            <w:bookmarkStart w:id="12" w:name="_Hlk218935228"/>
            <w:r>
              <w:rPr>
                <w:rFonts w:ascii="Arial" w:hAnsi="Arial" w:cs="Arial"/>
                <w:sz w:val="24"/>
                <w:szCs w:val="24"/>
              </w:rPr>
              <w:t>“The position should be permanent.”</w:t>
            </w:r>
            <w:bookmarkEnd w:id="12"/>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4F780444">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A487A59">
            <w:pPr>
              <w:rPr>
                <w:rFonts w:ascii="Arial" w:hAnsi="Arial" w:cs="Arial"/>
                <w:sz w:val="24"/>
                <w:szCs w:val="24"/>
              </w:rPr>
            </w:pPr>
            <w:r>
              <w:rPr>
                <w:rFonts w:ascii="Arial" w:hAnsi="Arial" w:cs="Arial"/>
                <w:sz w:val="24"/>
                <w:szCs w:val="24"/>
              </w:rPr>
              <w:t>Stability encourages commitment and growth.</w:t>
            </w:r>
          </w:p>
        </w:tc>
      </w:tr>
      <w:tr w14:paraId="4F685D2A">
        <w:tblPrEx>
          <w:tblCellMar>
            <w:top w:w="15" w:type="dxa"/>
            <w:left w:w="15" w:type="dxa"/>
            <w:bottom w:w="15" w:type="dxa"/>
            <w:right w:w="15" w:type="dxa"/>
          </w:tblCellMar>
        </w:tblPrEx>
        <w:trPr>
          <w:trHeight w:val="1628"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2F7A5D22">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53C0F7">
            <w:pPr>
              <w:rPr>
                <w:rFonts w:ascii="Arial" w:hAnsi="Arial" w:cs="Arial"/>
                <w:sz w:val="24"/>
                <w:szCs w:val="24"/>
              </w:rPr>
            </w:pPr>
            <w:r>
              <w:rPr>
                <w:rFonts w:ascii="Arial" w:hAnsi="Arial" w:cs="Arial"/>
                <w:sz w:val="24"/>
                <w:szCs w:val="24"/>
              </w:rPr>
              <w:t>Collaboration</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C1E6E84">
            <w:pPr>
              <w:rPr>
                <w:rFonts w:ascii="Arial" w:hAnsi="Arial" w:cs="Arial"/>
                <w:sz w:val="24"/>
                <w:szCs w:val="24"/>
              </w:rPr>
            </w:pPr>
            <w:r>
              <w:rPr>
                <w:rFonts w:ascii="Arial" w:hAnsi="Arial" w:cs="Arial"/>
                <w:sz w:val="24"/>
                <w:szCs w:val="24"/>
              </w:rPr>
              <w:t>Shared learning</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6828CED">
            <w:pPr>
              <w:rPr>
                <w:rFonts w:ascii="Arial" w:hAnsi="Arial" w:cs="Arial"/>
                <w:sz w:val="24"/>
                <w:szCs w:val="24"/>
              </w:rPr>
            </w:pPr>
            <w:bookmarkStart w:id="13" w:name="_Hlk218935242"/>
            <w:r>
              <w:rPr>
                <w:rFonts w:ascii="Arial" w:hAnsi="Arial" w:cs="Arial"/>
                <w:sz w:val="24"/>
                <w:szCs w:val="24"/>
              </w:rPr>
              <w:t>“It is better to collaborate and be united.”</w:t>
            </w:r>
            <w:bookmarkEnd w:id="13"/>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69654B2B">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E01A01D">
            <w:pPr>
              <w:rPr>
                <w:rFonts w:ascii="Arial" w:hAnsi="Arial" w:cs="Arial"/>
                <w:sz w:val="24"/>
                <w:szCs w:val="24"/>
              </w:rPr>
            </w:pPr>
            <w:r>
              <w:rPr>
                <w:rFonts w:ascii="Arial" w:hAnsi="Arial" w:cs="Arial"/>
                <w:sz w:val="24"/>
                <w:szCs w:val="24"/>
              </w:rPr>
              <w:t>Collaboration enhances teaching effectiveness.</w:t>
            </w:r>
          </w:p>
        </w:tc>
      </w:tr>
      <w:tr w14:paraId="60124319">
        <w:tblPrEx>
          <w:tblCellMar>
            <w:top w:w="15" w:type="dxa"/>
            <w:left w:w="15" w:type="dxa"/>
            <w:bottom w:w="15" w:type="dxa"/>
            <w:right w:w="15" w:type="dxa"/>
          </w:tblCellMar>
        </w:tblPrEx>
        <w:trPr>
          <w:trHeight w:val="1628"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71CAEBFF">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0CC8A61">
            <w:pPr>
              <w:rPr>
                <w:rFonts w:ascii="Arial" w:hAnsi="Arial" w:cs="Arial"/>
                <w:sz w:val="24"/>
                <w:szCs w:val="24"/>
              </w:rPr>
            </w:pPr>
            <w:r>
              <w:rPr>
                <w:rFonts w:ascii="Arial" w:hAnsi="Arial" w:cs="Arial"/>
                <w:sz w:val="24"/>
                <w:szCs w:val="24"/>
              </w:rPr>
              <w:t>Curriculum focus</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1E55EB8">
            <w:pPr>
              <w:rPr>
                <w:rFonts w:ascii="Arial" w:hAnsi="Arial" w:cs="Arial"/>
                <w:sz w:val="24"/>
                <w:szCs w:val="24"/>
              </w:rPr>
            </w:pPr>
            <w:r>
              <w:rPr>
                <w:rFonts w:ascii="Arial" w:hAnsi="Arial" w:cs="Arial"/>
                <w:sz w:val="24"/>
                <w:szCs w:val="24"/>
              </w:rPr>
              <w:t>Need for structure</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76F6427">
            <w:pPr>
              <w:rPr>
                <w:rFonts w:ascii="Arial" w:hAnsi="Arial" w:cs="Arial"/>
                <w:sz w:val="24"/>
                <w:szCs w:val="24"/>
              </w:rPr>
            </w:pPr>
            <w:bookmarkStart w:id="14" w:name="_Hlk218935255"/>
            <w:r>
              <w:rPr>
                <w:rFonts w:ascii="Arial" w:hAnsi="Arial" w:cs="Arial"/>
                <w:sz w:val="24"/>
                <w:szCs w:val="24"/>
              </w:rPr>
              <w:t>“Training should be more focused on the curriculum.”</w:t>
            </w:r>
            <w:bookmarkEnd w:id="14"/>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7762058E">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7C0D2E">
            <w:pPr>
              <w:rPr>
                <w:rFonts w:ascii="Arial" w:hAnsi="Arial" w:cs="Arial"/>
                <w:sz w:val="24"/>
                <w:szCs w:val="24"/>
              </w:rPr>
            </w:pPr>
            <w:r>
              <w:rPr>
                <w:rFonts w:ascii="Arial" w:hAnsi="Arial" w:cs="Arial"/>
                <w:sz w:val="24"/>
                <w:szCs w:val="24"/>
              </w:rPr>
              <w:t>Teachers need curriculum-based training.</w:t>
            </w:r>
          </w:p>
        </w:tc>
      </w:tr>
      <w:tr w14:paraId="0AFBA8E1">
        <w:tblPrEx>
          <w:tblCellMar>
            <w:top w:w="15" w:type="dxa"/>
            <w:left w:w="15" w:type="dxa"/>
            <w:bottom w:w="15" w:type="dxa"/>
            <w:right w:w="15" w:type="dxa"/>
          </w:tblCellMar>
        </w:tblPrEx>
        <w:trPr>
          <w:trHeight w:val="1628"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37A5086C">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40F81E">
            <w:pPr>
              <w:rPr>
                <w:rFonts w:ascii="Arial" w:hAnsi="Arial" w:cs="Arial"/>
                <w:sz w:val="24"/>
                <w:szCs w:val="24"/>
              </w:rPr>
            </w:pPr>
            <w:r>
              <w:rPr>
                <w:rFonts w:ascii="Arial" w:hAnsi="Arial" w:cs="Arial"/>
                <w:sz w:val="24"/>
                <w:szCs w:val="24"/>
              </w:rPr>
              <w:t>Cultural relevance</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47B6B6B">
            <w:pPr>
              <w:rPr>
                <w:rFonts w:ascii="Arial" w:hAnsi="Arial" w:cs="Arial"/>
                <w:sz w:val="24"/>
                <w:szCs w:val="24"/>
              </w:rPr>
            </w:pPr>
            <w:r>
              <w:rPr>
                <w:rFonts w:ascii="Arial" w:hAnsi="Arial" w:cs="Arial"/>
                <w:sz w:val="24"/>
                <w:szCs w:val="24"/>
              </w:rPr>
              <w:t>Islamic values integration</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DD4BD83">
            <w:pPr>
              <w:rPr>
                <w:rFonts w:ascii="Arial" w:hAnsi="Arial" w:cs="Arial"/>
                <w:sz w:val="24"/>
                <w:szCs w:val="24"/>
              </w:rPr>
            </w:pPr>
            <w:bookmarkStart w:id="15" w:name="_Hlk218935268"/>
            <w:r>
              <w:rPr>
                <w:rFonts w:ascii="Arial" w:hAnsi="Arial" w:cs="Arial"/>
                <w:sz w:val="24"/>
                <w:szCs w:val="24"/>
              </w:rPr>
              <w:t>“Islamic culture and customs should be included.”</w:t>
            </w:r>
            <w:bookmarkEnd w:id="15"/>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75773C07">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A46D8E4">
            <w:pPr>
              <w:rPr>
                <w:rFonts w:ascii="Arial" w:hAnsi="Arial" w:cs="Arial"/>
                <w:sz w:val="24"/>
                <w:szCs w:val="24"/>
              </w:rPr>
            </w:pPr>
            <w:r>
              <w:rPr>
                <w:rFonts w:ascii="Arial" w:hAnsi="Arial" w:cs="Arial"/>
                <w:sz w:val="24"/>
                <w:szCs w:val="24"/>
              </w:rPr>
              <w:t>Training must respect Islamic values.</w:t>
            </w:r>
          </w:p>
        </w:tc>
      </w:tr>
      <w:tr w14:paraId="0DBF7539">
        <w:tblPrEx>
          <w:tblCellMar>
            <w:top w:w="15" w:type="dxa"/>
            <w:left w:w="15" w:type="dxa"/>
            <w:bottom w:w="15" w:type="dxa"/>
            <w:right w:w="15" w:type="dxa"/>
          </w:tblCellMar>
        </w:tblPrEx>
        <w:trPr>
          <w:trHeight w:val="1628" w:hRule="atLeast"/>
        </w:trPr>
        <w:tc>
          <w:tcPr>
            <w:tcW w:w="870" w:type="pct"/>
            <w:vMerge w:val="continue"/>
            <w:tcBorders>
              <w:left w:val="single" w:color="DDDDDD" w:sz="6" w:space="0"/>
              <w:right w:val="single" w:color="DDDDDD" w:sz="6" w:space="0"/>
            </w:tcBorders>
            <w:tcMar>
              <w:top w:w="120" w:type="dxa"/>
              <w:left w:w="120" w:type="dxa"/>
              <w:bottom w:w="120" w:type="dxa"/>
              <w:right w:w="120" w:type="dxa"/>
            </w:tcMar>
            <w:vAlign w:val="center"/>
          </w:tcPr>
          <w:p w14:paraId="738A7190">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1339980">
            <w:pPr>
              <w:rPr>
                <w:rFonts w:ascii="Arial" w:hAnsi="Arial" w:cs="Arial"/>
                <w:sz w:val="24"/>
                <w:szCs w:val="24"/>
              </w:rPr>
            </w:pPr>
            <w:r>
              <w:rPr>
                <w:rFonts w:ascii="Arial" w:hAnsi="Arial" w:cs="Arial"/>
                <w:sz w:val="24"/>
                <w:szCs w:val="24"/>
              </w:rPr>
              <w:t>Stakeholder support</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3948476">
            <w:pPr>
              <w:rPr>
                <w:rFonts w:ascii="Arial" w:hAnsi="Arial" w:cs="Arial"/>
                <w:sz w:val="24"/>
                <w:szCs w:val="24"/>
              </w:rPr>
            </w:pPr>
            <w:r>
              <w:rPr>
                <w:rFonts w:ascii="Arial" w:hAnsi="Arial" w:cs="Arial"/>
                <w:sz w:val="24"/>
                <w:szCs w:val="24"/>
              </w:rPr>
              <w:t>Community involvement</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3AA8F38">
            <w:pPr>
              <w:rPr>
                <w:rFonts w:ascii="Arial" w:hAnsi="Arial" w:cs="Arial"/>
                <w:sz w:val="24"/>
                <w:szCs w:val="24"/>
              </w:rPr>
            </w:pPr>
            <w:bookmarkStart w:id="16" w:name="_Hlk218935280"/>
            <w:r>
              <w:rPr>
                <w:rFonts w:ascii="Arial" w:hAnsi="Arial" w:cs="Arial"/>
                <w:sz w:val="24"/>
                <w:szCs w:val="24"/>
              </w:rPr>
              <w:t>“Support from community and stakeholders.”</w:t>
            </w:r>
            <w:bookmarkEnd w:id="16"/>
          </w:p>
        </w:tc>
        <w:tc>
          <w:tcPr>
            <w:tcW w:w="0" w:type="auto"/>
            <w:vMerge w:val="continue"/>
            <w:tcBorders>
              <w:left w:val="single" w:color="DDDDDD" w:sz="6" w:space="0"/>
              <w:right w:val="single" w:color="DDDDDD" w:sz="6" w:space="0"/>
            </w:tcBorders>
            <w:tcMar>
              <w:top w:w="120" w:type="dxa"/>
              <w:left w:w="120" w:type="dxa"/>
              <w:bottom w:w="120" w:type="dxa"/>
              <w:right w:w="120" w:type="dxa"/>
            </w:tcMar>
            <w:vAlign w:val="center"/>
          </w:tcPr>
          <w:p w14:paraId="4144FD7C">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BD42FC">
            <w:pPr>
              <w:rPr>
                <w:rFonts w:ascii="Arial" w:hAnsi="Arial" w:cs="Arial"/>
                <w:sz w:val="24"/>
                <w:szCs w:val="24"/>
              </w:rPr>
            </w:pPr>
            <w:r>
              <w:rPr>
                <w:rFonts w:ascii="Arial" w:hAnsi="Arial" w:cs="Arial"/>
                <w:sz w:val="24"/>
                <w:szCs w:val="24"/>
              </w:rPr>
              <w:t>Collective support is crucial for empowerment.</w:t>
            </w:r>
          </w:p>
        </w:tc>
      </w:tr>
      <w:tr w14:paraId="72F32097">
        <w:tblPrEx>
          <w:tblCellMar>
            <w:top w:w="15" w:type="dxa"/>
            <w:left w:w="15" w:type="dxa"/>
            <w:bottom w:w="15" w:type="dxa"/>
            <w:right w:w="15" w:type="dxa"/>
          </w:tblCellMar>
        </w:tblPrEx>
        <w:trPr>
          <w:trHeight w:val="1628" w:hRule="atLeast"/>
        </w:trPr>
        <w:tc>
          <w:tcPr>
            <w:tcW w:w="870" w:type="pct"/>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500BD9D">
            <w:pPr>
              <w:rPr>
                <w:rFonts w:ascii="Arial" w:hAnsi="Arial" w:cs="Arial"/>
                <w:sz w:val="24"/>
                <w:szCs w:val="24"/>
              </w:rPr>
            </w:pPr>
          </w:p>
        </w:tc>
        <w:tc>
          <w:tcPr>
            <w:tcW w:w="629"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876E277">
            <w:pPr>
              <w:rPr>
                <w:rFonts w:ascii="Arial" w:hAnsi="Arial" w:cs="Arial"/>
                <w:sz w:val="24"/>
                <w:szCs w:val="24"/>
              </w:rPr>
            </w:pPr>
            <w:r>
              <w:rPr>
                <w:rFonts w:ascii="Arial" w:hAnsi="Arial" w:cs="Arial"/>
                <w:sz w:val="24"/>
                <w:szCs w:val="24"/>
              </w:rPr>
              <w:t>Vision for improvement</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3DAAC12">
            <w:pPr>
              <w:rPr>
                <w:rFonts w:ascii="Arial" w:hAnsi="Arial" w:cs="Arial"/>
                <w:sz w:val="24"/>
                <w:szCs w:val="24"/>
              </w:rPr>
            </w:pPr>
            <w:r>
              <w:rPr>
                <w:rFonts w:ascii="Arial" w:hAnsi="Arial" w:cs="Arial"/>
                <w:sz w:val="24"/>
                <w:szCs w:val="24"/>
              </w:rPr>
              <w:t>Hope for change</w:t>
            </w:r>
          </w:p>
        </w:tc>
        <w:tc>
          <w:tcPr>
            <w:tcW w:w="0" w:type="auto"/>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081B44">
            <w:pPr>
              <w:rPr>
                <w:rFonts w:ascii="Arial" w:hAnsi="Arial" w:cs="Arial"/>
                <w:sz w:val="24"/>
                <w:szCs w:val="24"/>
              </w:rPr>
            </w:pPr>
            <w:bookmarkStart w:id="17" w:name="_Hlk218935301"/>
            <w:r>
              <w:rPr>
                <w:rFonts w:ascii="Arial" w:hAnsi="Arial" w:cs="Arial"/>
                <w:sz w:val="24"/>
                <w:szCs w:val="24"/>
              </w:rPr>
              <w:t>“Maybe you will be the reason.”</w:t>
            </w:r>
            <w:bookmarkEnd w:id="17"/>
          </w:p>
        </w:tc>
        <w:tc>
          <w:tcPr>
            <w:tcW w:w="0" w:type="auto"/>
            <w:vMerge w:val="continue"/>
            <w:tcBorders>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D0AA252">
            <w:pPr>
              <w:rPr>
                <w:rFonts w:ascii="Arial" w:hAnsi="Arial" w:cs="Arial"/>
                <w:sz w:val="24"/>
                <w:szCs w:val="24"/>
              </w:rPr>
            </w:pPr>
          </w:p>
        </w:tc>
        <w:tc>
          <w:tcPr>
            <w:tcW w:w="916" w:type="pc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C01FA7A">
            <w:pPr>
              <w:rPr>
                <w:rFonts w:ascii="Arial" w:hAnsi="Arial" w:cs="Arial"/>
                <w:sz w:val="24"/>
                <w:szCs w:val="24"/>
              </w:rPr>
            </w:pPr>
            <w:r>
              <w:rPr>
                <w:rFonts w:ascii="Arial" w:hAnsi="Arial" w:cs="Arial"/>
                <w:sz w:val="24"/>
                <w:szCs w:val="24"/>
              </w:rPr>
              <w:t>Teachers remain hopeful for institutional reform.</w:t>
            </w:r>
          </w:p>
        </w:tc>
      </w:tr>
    </w:tbl>
    <w:p w14:paraId="0C943DBA">
      <w:pPr>
        <w:pBdr>
          <w:top w:val="none" w:color="auto" w:sz="0" w:space="0"/>
          <w:left w:val="none" w:color="auto" w:sz="0" w:space="0"/>
          <w:bottom w:val="none" w:color="auto" w:sz="0" w:space="0"/>
          <w:right w:val="none" w:color="auto" w:sz="0" w:space="0"/>
          <w:between w:val="none" w:color="auto" w:sz="0" w:space="0"/>
        </w:pBdr>
        <w:jc w:val="both"/>
        <w:rPr>
          <w:rFonts w:ascii="Arial" w:hAnsi="Arial" w:eastAsia="Arial" w:cs="Arial"/>
          <w:color w:val="000000"/>
          <w:sz w:val="24"/>
          <w:szCs w:val="24"/>
        </w:rPr>
      </w:pPr>
    </w:p>
    <w:p w14:paraId="2E10CD95">
      <w:pPr>
        <w:jc w:val="both"/>
        <w:rPr>
          <w:rFonts w:ascii="Arial" w:hAnsi="Arial" w:eastAsia="Arial" w:cs="Arial"/>
          <w:sz w:val="24"/>
          <w:szCs w:val="24"/>
        </w:rPr>
      </w:pPr>
    </w:p>
    <w:p w14:paraId="55AB8BC5">
      <w:pPr>
        <w:jc w:val="center"/>
        <w:rPr>
          <w:rFonts w:ascii="Arial" w:hAnsi="Arial" w:eastAsia="Arial" w:cs="Arial"/>
          <w:b/>
          <w:bCs/>
          <w:sz w:val="24"/>
          <w:szCs w:val="24"/>
        </w:rPr>
      </w:pPr>
      <w:r>
        <w:rPr>
          <w:rFonts w:ascii="Arial" w:hAnsi="Arial" w:eastAsia="Arial" w:cs="Arial"/>
          <w:b/>
          <w:bCs/>
          <w:sz w:val="24"/>
          <w:szCs w:val="24"/>
        </w:rPr>
        <w:t>CONCLUSIONS</w:t>
      </w:r>
    </w:p>
    <w:p w14:paraId="311DD8B6">
      <w:pPr>
        <w:jc w:val="center"/>
        <w:rPr>
          <w:rFonts w:ascii="Arial" w:hAnsi="Arial" w:eastAsia="Arial" w:cs="Arial"/>
          <w:b/>
          <w:bCs/>
          <w:sz w:val="24"/>
          <w:szCs w:val="24"/>
        </w:rPr>
      </w:pPr>
    </w:p>
    <w:p w14:paraId="6C62AC9E">
      <w:pPr>
        <w:widowControl w:val="0"/>
        <w:autoSpaceDE w:val="0"/>
        <w:autoSpaceDN w:val="0"/>
        <w:adjustRightInd w:val="0"/>
        <w:spacing w:before="240"/>
        <w:ind w:firstLine="720"/>
        <w:jc w:val="both"/>
        <w:rPr>
          <w:rFonts w:ascii="Arial" w:hAnsi="Arial" w:cs="Arial"/>
          <w:color w:val="000000"/>
          <w:sz w:val="24"/>
          <w:szCs w:val="24"/>
        </w:rPr>
      </w:pPr>
      <w:r>
        <w:rPr>
          <w:rFonts w:ascii="Arial" w:hAnsi="Arial" w:cs="Arial"/>
          <w:color w:val="000000"/>
          <w:sz w:val="24"/>
          <w:szCs w:val="24"/>
        </w:rPr>
        <w:t>The findings of this study conclud</w:t>
      </w:r>
      <w:r>
        <w:rPr>
          <w:rFonts w:hint="default" w:ascii="Arial" w:hAnsi="Arial" w:cs="Arial"/>
          <w:color w:val="000000"/>
          <w:sz w:val="24"/>
          <w:szCs w:val="24"/>
          <w:lang w:val="en-US"/>
        </w:rPr>
        <w:t>d</w:t>
      </w:r>
      <w:r>
        <w:rPr>
          <w:rFonts w:ascii="Arial" w:hAnsi="Arial" w:cs="Arial"/>
          <w:color w:val="000000"/>
          <w:sz w:val="24"/>
          <w:szCs w:val="24"/>
        </w:rPr>
        <w:t>e that Muslim educators in Islamic schools continue to face significant challenges that hinder their professional growth and effectiveness. In particular, educators experience inadequate, irregular, and short-term professional development programs that fail to sufficiently address essential instructional needs such as pedagogy, classroom management, and curriculum implementation. Research consistently show</w:t>
      </w:r>
      <w:r>
        <w:rPr>
          <w:rFonts w:hint="default" w:ascii="Arial" w:hAnsi="Arial" w:cs="Arial"/>
          <w:color w:val="000000"/>
          <w:sz w:val="24"/>
          <w:szCs w:val="24"/>
          <w:lang w:val="en-US"/>
        </w:rPr>
        <w:t>ed</w:t>
      </w:r>
      <w:r>
        <w:rPr>
          <w:rFonts w:ascii="Arial" w:hAnsi="Arial" w:cs="Arial"/>
          <w:color w:val="000000"/>
          <w:sz w:val="24"/>
          <w:szCs w:val="24"/>
        </w:rPr>
        <w:t xml:space="preserve"> that fragmented and episodic training has minimal impact on teaching quality compared to sustained, coherent professional development models (Darling-Hammond, Hyler, &amp; Gardner, 2017; Desimone &amp; Garet, 2015). Compounding this issue are financial constraints, limited resources, and insufficient access to educational technology, which restrict teachers’ ability to innovate and engage in continuous professional learning. Studies indicate that resource scarcity disproportionately affects faith-based and private schools, limiting both instructional quality and teacher professional advancement (Bush &amp; Niyozov, 2008; Ingersoll et al., 2014).</w:t>
      </w:r>
    </w:p>
    <w:p w14:paraId="208522EF">
      <w:pPr>
        <w:widowControl w:val="0"/>
        <w:autoSpaceDE w:val="0"/>
        <w:autoSpaceDN w:val="0"/>
        <w:adjustRightInd w:val="0"/>
        <w:spacing w:before="240"/>
        <w:ind w:firstLine="720"/>
        <w:jc w:val="both"/>
        <w:rPr>
          <w:rFonts w:ascii="Arial" w:hAnsi="Arial" w:cs="Arial"/>
          <w:color w:val="000000"/>
          <w:sz w:val="24"/>
          <w:szCs w:val="24"/>
        </w:rPr>
      </w:pPr>
      <w:r>
        <w:rPr>
          <w:rFonts w:ascii="Arial" w:hAnsi="Arial" w:cs="Arial"/>
          <w:color w:val="000000"/>
          <w:sz w:val="24"/>
          <w:szCs w:val="24"/>
        </w:rPr>
        <w:t>Furthermore, the study reveal</w:t>
      </w:r>
      <w:r>
        <w:rPr>
          <w:rFonts w:hint="default" w:ascii="Arial" w:hAnsi="Arial" w:cs="Arial"/>
          <w:color w:val="000000"/>
          <w:sz w:val="24"/>
          <w:szCs w:val="24"/>
          <w:lang w:val="en-US"/>
        </w:rPr>
        <w:t>ed</w:t>
      </w:r>
      <w:r>
        <w:rPr>
          <w:rFonts w:ascii="Arial" w:hAnsi="Arial" w:cs="Arial"/>
          <w:color w:val="000000"/>
          <w:sz w:val="24"/>
          <w:szCs w:val="24"/>
        </w:rPr>
        <w:t xml:space="preserve"> that leadership development in Islamic schools remains largely informal and experience-based, with few structured mentoring systems, leadership training programs, or formal evaluation mechanisms in place. While experiential learning plays an important role, the absence of systematic leadership preparation limits the development of instructional leadership capacity and succession planning (Harris, 2013; Arar, Sawalhi, &amp; Yilmaz, 2022). These conditions underscore</w:t>
      </w:r>
      <w:r>
        <w:rPr>
          <w:rFonts w:hint="default" w:ascii="Arial" w:hAnsi="Arial" w:cs="Arial"/>
          <w:color w:val="000000"/>
          <w:sz w:val="24"/>
          <w:szCs w:val="24"/>
          <w:lang w:val="en-US"/>
        </w:rPr>
        <w:t>d</w:t>
      </w:r>
      <w:bookmarkStart w:id="19" w:name="_GoBack"/>
      <w:bookmarkEnd w:id="19"/>
      <w:r>
        <w:rPr>
          <w:rFonts w:ascii="Arial" w:hAnsi="Arial" w:cs="Arial"/>
          <w:color w:val="000000"/>
          <w:sz w:val="24"/>
          <w:szCs w:val="24"/>
        </w:rPr>
        <w:t xml:space="preserve"> the need for comprehensive empowerment strategies that are systematic, sustained, and culturally responsive, integrating Islamic values, ethics, and traditions with contemporary educational leadership and pedagogical practices. Scholars emphasize that culturally and religiously grounded professional development strengthens teacher identity, legitimacy, and effectiveness in Islamic educational contexts (Gay, 2018; Shah, 2016). Overall, empowering Muslim educators requires a holistic approach that aligns institutional support, leadership development, and professional learning within the moral and spiritual framework of Islamic education.</w:t>
      </w:r>
    </w:p>
    <w:p w14:paraId="44F8F953">
      <w:pPr>
        <w:pBdr>
          <w:top w:val="none" w:color="auto" w:sz="0" w:space="0"/>
          <w:left w:val="none" w:color="auto" w:sz="0" w:space="0"/>
          <w:bottom w:val="none" w:color="auto" w:sz="0" w:space="0"/>
          <w:right w:val="none" w:color="auto" w:sz="0" w:space="0"/>
          <w:between w:val="none" w:color="auto" w:sz="0" w:space="0"/>
        </w:pBdr>
        <w:ind w:left="720"/>
        <w:jc w:val="both"/>
        <w:rPr>
          <w:rFonts w:ascii="Arial" w:hAnsi="Arial" w:eastAsia="Arial" w:cs="Arial"/>
          <w:color w:val="000000"/>
          <w:sz w:val="24"/>
          <w:szCs w:val="24"/>
        </w:rPr>
      </w:pPr>
      <w:r>
        <w:rPr>
          <w:rFonts w:ascii="Arial" w:hAnsi="Arial" w:eastAsia="Arial" w:cs="Arial"/>
          <w:color w:val="000000"/>
          <w:sz w:val="24"/>
          <w:szCs w:val="24"/>
        </w:rPr>
        <w:t>.</w:t>
      </w:r>
    </w:p>
    <w:p w14:paraId="1E81CF07">
      <w:pPr>
        <w:spacing w:line="276" w:lineRule="auto"/>
        <w:rPr>
          <w:sz w:val="20"/>
          <w:szCs w:val="20"/>
        </w:rPr>
      </w:pPr>
    </w:p>
    <w:p w14:paraId="74F00C44">
      <w:pPr>
        <w:jc w:val="center"/>
        <w:rPr>
          <w:rFonts w:ascii="Arial" w:hAnsi="Arial" w:eastAsia="Arial" w:cs="Arial"/>
          <w:b/>
          <w:bCs/>
          <w:sz w:val="24"/>
          <w:szCs w:val="24"/>
        </w:rPr>
      </w:pPr>
      <w:r>
        <w:rPr>
          <w:rFonts w:ascii="Arial" w:hAnsi="Arial" w:eastAsia="Arial" w:cs="Arial"/>
          <w:b/>
          <w:bCs/>
          <w:sz w:val="24"/>
          <w:szCs w:val="24"/>
        </w:rPr>
        <w:t>REFERENCES</w:t>
      </w:r>
    </w:p>
    <w:p w14:paraId="06E59082">
      <w:pPr>
        <w:pStyle w:val="13"/>
        <w:ind w:left="720" w:hanging="720"/>
        <w:jc w:val="both"/>
        <w:rPr>
          <w:rFonts w:ascii="Arial" w:hAnsi="Arial" w:cs="Arial"/>
        </w:rPr>
      </w:pPr>
      <w:r>
        <w:rPr>
          <w:rFonts w:ascii="Arial" w:hAnsi="Arial" w:cs="Arial"/>
        </w:rPr>
        <w:t xml:space="preserve">Al-Attas, S. M. N. (1999). </w:t>
      </w:r>
      <w:r>
        <w:rPr>
          <w:rStyle w:val="11"/>
          <w:rFonts w:ascii="Arial" w:hAnsi="Arial" w:cs="Arial"/>
        </w:rPr>
        <w:t>The concept of education in Islam</w:t>
      </w:r>
      <w:r>
        <w:rPr>
          <w:rFonts w:ascii="Arial" w:hAnsi="Arial" w:cs="Arial"/>
        </w:rPr>
        <w:t>. International Institute of Islamic Thought and Civilization.</w:t>
      </w:r>
    </w:p>
    <w:p w14:paraId="2FE57A0F">
      <w:pPr>
        <w:pStyle w:val="13"/>
        <w:ind w:left="720" w:hanging="720"/>
        <w:jc w:val="both"/>
        <w:rPr>
          <w:rFonts w:ascii="Arial" w:hAnsi="Arial" w:cs="Arial"/>
        </w:rPr>
      </w:pPr>
      <w:r>
        <w:rPr>
          <w:rFonts w:ascii="Arial" w:hAnsi="Arial" w:cs="Arial"/>
        </w:rPr>
        <w:t xml:space="preserve">Ahmad, K., &amp; Fontaine, R. (2019). Islamic leadership at the international Islamic university Malaysia. </w:t>
      </w:r>
      <w:r>
        <w:rPr>
          <w:rStyle w:val="11"/>
          <w:rFonts w:ascii="Arial" w:hAnsi="Arial" w:cs="Arial"/>
        </w:rPr>
        <w:t>International Journal of Educational Management, 33</w:t>
      </w:r>
      <w:r>
        <w:rPr>
          <w:rFonts w:ascii="Arial" w:hAnsi="Arial" w:cs="Arial"/>
        </w:rPr>
        <w:t>(4), 1–14.</w:t>
      </w:r>
    </w:p>
    <w:p w14:paraId="11885915">
      <w:pPr>
        <w:pStyle w:val="13"/>
        <w:ind w:left="720" w:hanging="720"/>
        <w:jc w:val="both"/>
        <w:rPr>
          <w:rFonts w:ascii="Arial" w:hAnsi="Arial" w:cs="Arial"/>
        </w:rPr>
      </w:pPr>
      <w:r>
        <w:rPr>
          <w:rFonts w:ascii="Arial" w:hAnsi="Arial" w:cs="Arial"/>
        </w:rPr>
        <w:t xml:space="preserve">Bush, T., &amp; Kiggundu, E. (2011). Leadership in post-colonial contexts: African and Asian perspectives. </w:t>
      </w:r>
      <w:r>
        <w:rPr>
          <w:rStyle w:val="11"/>
          <w:rFonts w:ascii="Arial" w:hAnsi="Arial" w:cs="Arial"/>
        </w:rPr>
        <w:t>Educational Management Administration &amp; Leadership, 39</w:t>
      </w:r>
      <w:r>
        <w:rPr>
          <w:rFonts w:ascii="Arial" w:hAnsi="Arial" w:cs="Arial"/>
        </w:rPr>
        <w:t>(6), 1–15.</w:t>
      </w:r>
    </w:p>
    <w:p w14:paraId="36CE46FB">
      <w:pPr>
        <w:pStyle w:val="13"/>
        <w:ind w:left="720" w:hanging="720"/>
        <w:jc w:val="both"/>
        <w:rPr>
          <w:rFonts w:ascii="Arial" w:hAnsi="Arial" w:cs="Arial"/>
        </w:rPr>
      </w:pPr>
      <w:r>
        <w:rPr>
          <w:rFonts w:ascii="Arial" w:hAnsi="Arial" w:cs="Arial"/>
        </w:rPr>
        <w:t xml:space="preserve">Halstead, J. M. (2004). An Islamic concept of education. </w:t>
      </w:r>
      <w:r>
        <w:rPr>
          <w:rStyle w:val="11"/>
          <w:rFonts w:ascii="Arial" w:hAnsi="Arial" w:cs="Arial"/>
        </w:rPr>
        <w:t>Comparative Education, 40</w:t>
      </w:r>
      <w:r>
        <w:rPr>
          <w:rFonts w:ascii="Arial" w:hAnsi="Arial" w:cs="Arial"/>
        </w:rPr>
        <w:t>(4), 517–529.</w:t>
      </w:r>
    </w:p>
    <w:p w14:paraId="2285E88C">
      <w:pPr>
        <w:pStyle w:val="13"/>
        <w:ind w:left="720" w:hanging="720"/>
        <w:jc w:val="both"/>
        <w:rPr>
          <w:rFonts w:ascii="Arial" w:hAnsi="Arial" w:cs="Arial"/>
        </w:rPr>
      </w:pPr>
      <w:r>
        <w:rPr>
          <w:rFonts w:ascii="Arial" w:hAnsi="Arial" w:cs="Arial"/>
        </w:rPr>
        <w:t xml:space="preserve">Harris, A. (2014). Distributed leadership matters. </w:t>
      </w:r>
      <w:r>
        <w:rPr>
          <w:rStyle w:val="11"/>
          <w:rFonts w:ascii="Arial" w:hAnsi="Arial" w:cs="Arial"/>
        </w:rPr>
        <w:t>Corwin Press</w:t>
      </w:r>
      <w:r>
        <w:rPr>
          <w:rFonts w:ascii="Arial" w:hAnsi="Arial" w:cs="Arial"/>
        </w:rPr>
        <w:t>.</w:t>
      </w:r>
    </w:p>
    <w:p w14:paraId="063702C7">
      <w:pPr>
        <w:pStyle w:val="13"/>
        <w:ind w:left="720" w:hanging="720"/>
        <w:jc w:val="both"/>
        <w:rPr>
          <w:rFonts w:ascii="Arial" w:hAnsi="Arial" w:cs="Arial"/>
        </w:rPr>
      </w:pPr>
      <w:r>
        <w:rPr>
          <w:rFonts w:ascii="Arial" w:hAnsi="Arial" w:cs="Arial"/>
        </w:rPr>
        <w:t xml:space="preserve">Noor, M. A. (2021). Teacher leadership in Islamic schools: Challenges and opportunities. </w:t>
      </w:r>
      <w:r>
        <w:rPr>
          <w:rStyle w:val="11"/>
          <w:rFonts w:ascii="Arial" w:hAnsi="Arial" w:cs="Arial"/>
        </w:rPr>
        <w:t>Journal of Islamic Educational Studies, 6</w:t>
      </w:r>
      <w:r>
        <w:rPr>
          <w:rFonts w:ascii="Arial" w:hAnsi="Arial" w:cs="Arial"/>
        </w:rPr>
        <w:t>(2), 45–58.</w:t>
      </w:r>
    </w:p>
    <w:p w14:paraId="07723D73">
      <w:pPr>
        <w:pStyle w:val="13"/>
        <w:ind w:left="720" w:hanging="720"/>
        <w:jc w:val="both"/>
        <w:rPr>
          <w:rFonts w:ascii="Arial" w:hAnsi="Arial" w:cs="Arial"/>
        </w:rPr>
      </w:pPr>
      <w:r>
        <w:rPr>
          <w:rFonts w:ascii="Arial" w:hAnsi="Arial" w:cs="Arial"/>
        </w:rPr>
        <w:t xml:space="preserve">Rahman, F. (2018). Professional development of Islamic school teachers. </w:t>
      </w:r>
      <w:r>
        <w:rPr>
          <w:rStyle w:val="11"/>
          <w:rFonts w:ascii="Arial" w:hAnsi="Arial" w:cs="Arial"/>
        </w:rPr>
        <w:t>Journal of Muslim Education, 3</w:t>
      </w:r>
      <w:r>
        <w:rPr>
          <w:rFonts w:ascii="Arial" w:hAnsi="Arial" w:cs="Arial"/>
        </w:rPr>
        <w:t>(1), 23–35.</w:t>
      </w:r>
    </w:p>
    <w:p w14:paraId="44AC1E3F">
      <w:pPr>
        <w:pStyle w:val="13"/>
        <w:ind w:left="720" w:hanging="720"/>
        <w:jc w:val="both"/>
        <w:rPr>
          <w:rFonts w:ascii="Arial" w:hAnsi="Arial" w:cs="Arial"/>
        </w:rPr>
      </w:pPr>
      <w:r>
        <w:rPr>
          <w:rFonts w:ascii="Arial" w:hAnsi="Arial" w:cs="Arial"/>
        </w:rPr>
        <w:t xml:space="preserve">Saeed, A., &amp; Syed, A. (2020). Integrating pedagogy and values in Islamic education. </w:t>
      </w:r>
      <w:r>
        <w:rPr>
          <w:rStyle w:val="11"/>
          <w:rFonts w:ascii="Arial" w:hAnsi="Arial" w:cs="Arial"/>
        </w:rPr>
        <w:t>Educational Review, 72</w:t>
      </w:r>
      <w:r>
        <w:rPr>
          <w:rFonts w:ascii="Arial" w:hAnsi="Arial" w:cs="Arial"/>
        </w:rPr>
        <w:t>(5), 1–17.</w:t>
      </w:r>
    </w:p>
    <w:p w14:paraId="1A113CF1">
      <w:pPr>
        <w:pStyle w:val="13"/>
        <w:ind w:left="720" w:hanging="720"/>
        <w:jc w:val="both"/>
        <w:rPr>
          <w:rFonts w:ascii="Arial" w:hAnsi="Arial" w:cs="Arial"/>
        </w:rPr>
      </w:pPr>
    </w:p>
    <w:p w14:paraId="225BAC2A">
      <w:pPr>
        <w:pStyle w:val="13"/>
        <w:ind w:left="720" w:hanging="720"/>
        <w:jc w:val="both"/>
        <w:rPr>
          <w:rFonts w:ascii="Arial" w:hAnsi="Arial" w:cs="Arial"/>
        </w:rPr>
      </w:pPr>
      <w:r>
        <w:rPr>
          <w:rFonts w:ascii="Arial" w:hAnsi="Arial" w:cs="Arial"/>
        </w:rPr>
        <w:t xml:space="preserve">Brooks, M. C., &amp; Mutohar, A. (2018). Islamic school leadership: A conceptual framework. </w:t>
      </w:r>
      <w:r>
        <w:rPr>
          <w:rStyle w:val="11"/>
          <w:rFonts w:ascii="Arial" w:hAnsi="Arial" w:cs="Arial"/>
        </w:rPr>
        <w:t>Journal of Educational Administration and History, 50</w:t>
      </w:r>
      <w:r>
        <w:rPr>
          <w:rFonts w:ascii="Arial" w:hAnsi="Arial" w:cs="Arial"/>
        </w:rPr>
        <w:t xml:space="preserve">(2), 54–68. </w:t>
      </w:r>
      <w:r>
        <w:fldChar w:fldCharType="begin"/>
      </w:r>
      <w:r>
        <w:instrText xml:space="preserve"> HYPERLINK "https://doi.org/10.1080/00220620.2018.1426558" \t "_new" </w:instrText>
      </w:r>
      <w:r>
        <w:fldChar w:fldCharType="separate"/>
      </w:r>
      <w:r>
        <w:rPr>
          <w:rStyle w:val="12"/>
          <w:rFonts w:ascii="Arial" w:hAnsi="Arial" w:cs="Arial"/>
          <w:color w:val="000000"/>
        </w:rPr>
        <w:t>https://doi.org/10.1080/00220620.2018.1426558</w:t>
      </w:r>
      <w:r>
        <w:rPr>
          <w:rStyle w:val="12"/>
          <w:rFonts w:ascii="Arial" w:hAnsi="Arial" w:cs="Arial"/>
          <w:color w:val="000000"/>
        </w:rPr>
        <w:fldChar w:fldCharType="end"/>
      </w:r>
    </w:p>
    <w:p w14:paraId="31E88D18">
      <w:pPr>
        <w:pStyle w:val="13"/>
        <w:ind w:left="720" w:hanging="720"/>
        <w:jc w:val="both"/>
        <w:rPr>
          <w:rFonts w:ascii="Arial" w:hAnsi="Arial" w:cs="Arial"/>
        </w:rPr>
      </w:pPr>
      <w:r>
        <w:rPr>
          <w:rFonts w:ascii="Arial" w:hAnsi="Arial" w:cs="Arial"/>
        </w:rPr>
        <w:t xml:space="preserve">Bush, T., &amp; Glover, D. (2014). School leadership models: What do we know? </w:t>
      </w:r>
      <w:r>
        <w:rPr>
          <w:rStyle w:val="11"/>
          <w:rFonts w:ascii="Arial" w:hAnsi="Arial" w:cs="Arial"/>
        </w:rPr>
        <w:t>School Leadership &amp; Management, 34</w:t>
      </w:r>
      <w:r>
        <w:rPr>
          <w:rFonts w:ascii="Arial" w:hAnsi="Arial" w:cs="Arial"/>
        </w:rPr>
        <w:t xml:space="preserve">(5), 553–571. </w:t>
      </w:r>
      <w:r>
        <w:fldChar w:fldCharType="begin"/>
      </w:r>
      <w:r>
        <w:instrText xml:space="preserve"> HYPERLINK "https://doi.org/10.1080/13632434.2014.928680" \t "_new" </w:instrText>
      </w:r>
      <w:r>
        <w:fldChar w:fldCharType="separate"/>
      </w:r>
      <w:r>
        <w:rPr>
          <w:rStyle w:val="12"/>
          <w:rFonts w:ascii="Arial" w:hAnsi="Arial" w:cs="Arial"/>
          <w:color w:val="000000"/>
        </w:rPr>
        <w:t>https://doi.org/10.1080/13632434.2014.928680</w:t>
      </w:r>
      <w:r>
        <w:rPr>
          <w:rStyle w:val="12"/>
          <w:rFonts w:ascii="Arial" w:hAnsi="Arial" w:cs="Arial"/>
          <w:color w:val="000000"/>
        </w:rPr>
        <w:fldChar w:fldCharType="end"/>
      </w:r>
    </w:p>
    <w:p w14:paraId="41799049">
      <w:pPr>
        <w:pStyle w:val="13"/>
        <w:ind w:left="720" w:hanging="720"/>
        <w:jc w:val="both"/>
        <w:rPr>
          <w:rFonts w:ascii="Arial" w:hAnsi="Arial" w:cs="Arial"/>
        </w:rPr>
      </w:pPr>
      <w:r>
        <w:rPr>
          <w:rFonts w:ascii="Arial" w:hAnsi="Arial" w:cs="Arial"/>
        </w:rPr>
        <w:t xml:space="preserve">Day, C., Sammons, P., Hopkins, D., Harris, A., Leithwood, K., Gu, Q., &amp; Brown, E. (2010). </w:t>
      </w:r>
      <w:r>
        <w:rPr>
          <w:rStyle w:val="11"/>
          <w:rFonts w:ascii="Arial" w:hAnsi="Arial" w:cs="Arial"/>
        </w:rPr>
        <w:t>Ten strong claims about successful school leadership</w:t>
      </w:r>
      <w:r>
        <w:rPr>
          <w:rFonts w:ascii="Arial" w:hAnsi="Arial" w:cs="Arial"/>
        </w:rPr>
        <w:t>. National College for Leadership of Schools and Children’s Services.</w:t>
      </w:r>
    </w:p>
    <w:p w14:paraId="6FA10DB1">
      <w:pPr>
        <w:pStyle w:val="13"/>
        <w:ind w:left="720" w:hanging="720"/>
        <w:jc w:val="both"/>
        <w:rPr>
          <w:rFonts w:ascii="Arial" w:hAnsi="Arial" w:cs="Arial"/>
        </w:rPr>
      </w:pPr>
      <w:r>
        <w:rPr>
          <w:rFonts w:ascii="Arial" w:hAnsi="Arial" w:cs="Arial"/>
        </w:rPr>
        <w:t xml:space="preserve">Halim, A., &amp; Noor, M. (2023). Professional development and leadership challenges in Islamic schools. </w:t>
      </w:r>
      <w:r>
        <w:rPr>
          <w:rStyle w:val="11"/>
          <w:rFonts w:ascii="Arial" w:hAnsi="Arial" w:cs="Arial"/>
        </w:rPr>
        <w:t>International Journal of Islamic Educational Studies, 5</w:t>
      </w:r>
      <w:r>
        <w:rPr>
          <w:rFonts w:ascii="Arial" w:hAnsi="Arial" w:cs="Arial"/>
        </w:rPr>
        <w:t>(2), 101–115.</w:t>
      </w:r>
    </w:p>
    <w:p w14:paraId="109742F4">
      <w:pPr>
        <w:pStyle w:val="13"/>
        <w:ind w:left="720" w:hanging="720"/>
        <w:jc w:val="both"/>
        <w:rPr>
          <w:rFonts w:ascii="Arial" w:hAnsi="Arial" w:cs="Arial"/>
        </w:rPr>
      </w:pPr>
      <w:r>
        <w:rPr>
          <w:rFonts w:ascii="Arial" w:hAnsi="Arial" w:cs="Arial"/>
        </w:rPr>
        <w:t xml:space="preserve">Leithwood, K., Harris, A., &amp; Hopkins, D. (2020). Seven strong claims about successful school leadership revisited. </w:t>
      </w:r>
      <w:r>
        <w:rPr>
          <w:rStyle w:val="11"/>
          <w:rFonts w:ascii="Arial" w:hAnsi="Arial" w:cs="Arial"/>
        </w:rPr>
        <w:t>School Leadership &amp; Management, 40</w:t>
      </w:r>
      <w:r>
        <w:rPr>
          <w:rFonts w:ascii="Arial" w:hAnsi="Arial" w:cs="Arial"/>
        </w:rPr>
        <w:t>(1), 5–22.</w:t>
      </w:r>
      <w:r>
        <w:rPr>
          <w:rFonts w:ascii="Arial" w:hAnsi="Arial" w:cs="Arial"/>
          <w:color w:val="000000"/>
        </w:rPr>
        <w:t xml:space="preserve"> </w:t>
      </w:r>
      <w:r>
        <w:fldChar w:fldCharType="begin"/>
      </w:r>
      <w:r>
        <w:instrText xml:space="preserve"> HYPERLINK "https://doi.org/10.1080/13632434.2019.1596077" \t "_new" </w:instrText>
      </w:r>
      <w:r>
        <w:fldChar w:fldCharType="separate"/>
      </w:r>
      <w:r>
        <w:rPr>
          <w:rStyle w:val="12"/>
          <w:rFonts w:ascii="Arial" w:hAnsi="Arial" w:cs="Arial"/>
          <w:color w:val="000000"/>
        </w:rPr>
        <w:t>https://doi.org/10.1080/13632434.2019.1596077</w:t>
      </w:r>
      <w:r>
        <w:rPr>
          <w:rStyle w:val="12"/>
          <w:rFonts w:ascii="Arial" w:hAnsi="Arial" w:cs="Arial"/>
          <w:color w:val="000000"/>
        </w:rPr>
        <w:fldChar w:fldCharType="end"/>
      </w:r>
    </w:p>
    <w:p w14:paraId="15F043AA">
      <w:pPr>
        <w:pStyle w:val="13"/>
        <w:ind w:left="720" w:hanging="720"/>
        <w:jc w:val="both"/>
        <w:rPr>
          <w:rFonts w:ascii="Arial" w:hAnsi="Arial" w:cs="Arial"/>
        </w:rPr>
      </w:pPr>
      <w:r>
        <w:rPr>
          <w:rFonts w:ascii="Arial" w:hAnsi="Arial" w:cs="Arial"/>
        </w:rPr>
        <w:t xml:space="preserve">Mohammad, R., &amp; Ahmad, S. (2021). Teacher empowerment and leadership practices in Islamic educational institutions. </w:t>
      </w:r>
      <w:r>
        <w:rPr>
          <w:rStyle w:val="11"/>
          <w:rFonts w:ascii="Arial" w:hAnsi="Arial" w:cs="Arial"/>
        </w:rPr>
        <w:t>International Journal of Education and Practice, 9</w:t>
      </w:r>
      <w:r>
        <w:rPr>
          <w:rFonts w:ascii="Arial" w:hAnsi="Arial" w:cs="Arial"/>
        </w:rPr>
        <w:t>(3), 420–435.</w:t>
      </w:r>
    </w:p>
    <w:p w14:paraId="3D608D00">
      <w:pPr>
        <w:pStyle w:val="13"/>
        <w:ind w:left="720" w:hanging="720"/>
        <w:jc w:val="both"/>
        <w:rPr>
          <w:rFonts w:ascii="Arial" w:hAnsi="Arial" w:cs="Arial"/>
        </w:rPr>
      </w:pPr>
      <w:r>
        <w:rPr>
          <w:rFonts w:ascii="Arial" w:hAnsi="Arial" w:cs="Arial"/>
        </w:rPr>
        <w:t xml:space="preserve">Shah, S. (2016). Educational leadership and Islam: Theories, discourses and practices. </w:t>
      </w:r>
      <w:r>
        <w:rPr>
          <w:rStyle w:val="11"/>
          <w:rFonts w:ascii="Arial" w:hAnsi="Arial" w:cs="Arial"/>
        </w:rPr>
        <w:t>Educational Management Administration &amp; Leadership, 44</w:t>
      </w:r>
      <w:r>
        <w:rPr>
          <w:rFonts w:ascii="Arial" w:hAnsi="Arial" w:cs="Arial"/>
        </w:rPr>
        <w:t>(6), 906–923.</w:t>
      </w:r>
      <w:r>
        <w:rPr>
          <w:rFonts w:ascii="Arial" w:hAnsi="Arial" w:cs="Arial"/>
          <w:color w:val="000000"/>
        </w:rPr>
        <w:t xml:space="preserve"> </w:t>
      </w:r>
      <w:r>
        <w:fldChar w:fldCharType="begin"/>
      </w:r>
      <w:r>
        <w:instrText xml:space="preserve"> HYPERLINK "https://doi.org/10.1177/1741143214543200" \t "_new" </w:instrText>
      </w:r>
      <w:r>
        <w:fldChar w:fldCharType="separate"/>
      </w:r>
      <w:r>
        <w:rPr>
          <w:rStyle w:val="12"/>
          <w:rFonts w:ascii="Arial" w:hAnsi="Arial" w:cs="Arial"/>
          <w:color w:val="000000"/>
        </w:rPr>
        <w:t>https://doi.org/10.1177/1741143214543200</w:t>
      </w:r>
      <w:r>
        <w:rPr>
          <w:rStyle w:val="12"/>
          <w:rFonts w:ascii="Arial" w:hAnsi="Arial" w:cs="Arial"/>
          <w:color w:val="000000"/>
        </w:rPr>
        <w:fldChar w:fldCharType="end"/>
      </w:r>
    </w:p>
    <w:p w14:paraId="3C0E1457">
      <w:pPr>
        <w:pStyle w:val="13"/>
        <w:ind w:left="720" w:hanging="720"/>
        <w:jc w:val="both"/>
        <w:rPr>
          <w:rFonts w:ascii="Arial" w:hAnsi="Arial" w:cs="Arial"/>
        </w:rPr>
      </w:pPr>
      <w:r>
        <w:rPr>
          <w:rFonts w:ascii="Arial" w:hAnsi="Arial" w:cs="Arial"/>
        </w:rPr>
        <w:t xml:space="preserve">Al-Attas, S. M. N. (1999). </w:t>
      </w:r>
      <w:r>
        <w:rPr>
          <w:rStyle w:val="11"/>
          <w:rFonts w:ascii="Arial" w:hAnsi="Arial" w:cs="Arial"/>
        </w:rPr>
        <w:t>The concept of education in Islam</w:t>
      </w:r>
      <w:r>
        <w:rPr>
          <w:rFonts w:ascii="Arial" w:hAnsi="Arial" w:cs="Arial"/>
        </w:rPr>
        <w:t>. International Institute of Islamic Thought and Civilization.</w:t>
      </w:r>
    </w:p>
    <w:p w14:paraId="032F1132">
      <w:pPr>
        <w:pStyle w:val="13"/>
        <w:ind w:left="720" w:hanging="720"/>
        <w:jc w:val="both"/>
        <w:rPr>
          <w:rFonts w:ascii="Arial" w:hAnsi="Arial" w:cs="Arial"/>
        </w:rPr>
      </w:pPr>
      <w:r>
        <w:rPr>
          <w:rFonts w:ascii="Arial" w:hAnsi="Arial" w:cs="Arial"/>
        </w:rPr>
        <w:t xml:space="preserve">Ahmad, K., &amp; Fontaine, R. (2019). Islamic leadership at educational institutions. </w:t>
      </w:r>
      <w:r>
        <w:rPr>
          <w:rStyle w:val="11"/>
          <w:rFonts w:ascii="Arial" w:hAnsi="Arial" w:cs="Arial"/>
        </w:rPr>
        <w:t>International Journal of Educational Management, 33</w:t>
      </w:r>
      <w:r>
        <w:rPr>
          <w:rFonts w:ascii="Arial" w:hAnsi="Arial" w:cs="Arial"/>
        </w:rPr>
        <w:t>(4), 1–14.</w:t>
      </w:r>
    </w:p>
    <w:p w14:paraId="3FB3587F">
      <w:pPr>
        <w:pStyle w:val="13"/>
        <w:ind w:left="720" w:hanging="720"/>
        <w:jc w:val="both"/>
        <w:rPr>
          <w:rFonts w:ascii="Arial" w:hAnsi="Arial" w:cs="Arial"/>
        </w:rPr>
      </w:pPr>
      <w:r>
        <w:rPr>
          <w:rFonts w:ascii="Arial" w:hAnsi="Arial" w:cs="Arial"/>
        </w:rPr>
        <w:t xml:space="preserve">Arar, K., Sawalhi, R., &amp; Yilmaz, H. (2022). Islamic-based educational leadership: A review of international literature. </w:t>
      </w:r>
      <w:r>
        <w:rPr>
          <w:rStyle w:val="11"/>
          <w:rFonts w:ascii="Arial" w:hAnsi="Arial" w:cs="Arial"/>
        </w:rPr>
        <w:t>Religions, 13</w:t>
      </w:r>
      <w:r>
        <w:rPr>
          <w:rFonts w:ascii="Arial" w:hAnsi="Arial" w:cs="Arial"/>
        </w:rPr>
        <w:t>(1), 42.</w:t>
      </w:r>
    </w:p>
    <w:p w14:paraId="5E56D5DB">
      <w:pPr>
        <w:pStyle w:val="13"/>
        <w:ind w:left="720" w:hanging="720"/>
        <w:jc w:val="both"/>
        <w:rPr>
          <w:rFonts w:ascii="Arial" w:hAnsi="Arial" w:cs="Arial"/>
        </w:rPr>
      </w:pPr>
      <w:r>
        <w:rPr>
          <w:rFonts w:ascii="Arial" w:hAnsi="Arial" w:cs="Arial"/>
        </w:rPr>
        <w:t xml:space="preserve">Bush, T., &amp; Kiggundu, E. (2011). Leadership in post-colonial contexts. </w:t>
      </w:r>
      <w:r>
        <w:rPr>
          <w:rStyle w:val="11"/>
          <w:rFonts w:ascii="Arial" w:hAnsi="Arial" w:cs="Arial"/>
        </w:rPr>
        <w:t>Educational Management Administration &amp; Leadership, 39</w:t>
      </w:r>
      <w:r>
        <w:rPr>
          <w:rFonts w:ascii="Arial" w:hAnsi="Arial" w:cs="Arial"/>
        </w:rPr>
        <w:t>(6), 1–15.</w:t>
      </w:r>
    </w:p>
    <w:p w14:paraId="44571B9C">
      <w:pPr>
        <w:pStyle w:val="13"/>
        <w:ind w:left="720" w:hanging="720"/>
        <w:jc w:val="both"/>
        <w:rPr>
          <w:rFonts w:ascii="Arial" w:hAnsi="Arial" w:cs="Arial"/>
        </w:rPr>
      </w:pPr>
      <w:r>
        <w:rPr>
          <w:rFonts w:ascii="Arial" w:hAnsi="Arial" w:cs="Arial"/>
        </w:rPr>
        <w:t xml:space="preserve">Ebrahim, A. (2022). Teacher leadership in Islamic schools. </w:t>
      </w:r>
      <w:r>
        <w:rPr>
          <w:rStyle w:val="11"/>
          <w:rFonts w:ascii="Arial" w:hAnsi="Arial" w:cs="Arial"/>
        </w:rPr>
        <w:t>Journal of Islamic Educational Studies, 7</w:t>
      </w:r>
      <w:r>
        <w:rPr>
          <w:rFonts w:ascii="Arial" w:hAnsi="Arial" w:cs="Arial"/>
        </w:rPr>
        <w:t>(2), 55–70.</w:t>
      </w:r>
    </w:p>
    <w:p w14:paraId="5CCAFC79">
      <w:pPr>
        <w:pStyle w:val="13"/>
        <w:ind w:left="720" w:hanging="720"/>
        <w:jc w:val="both"/>
        <w:rPr>
          <w:rFonts w:ascii="Arial" w:hAnsi="Arial" w:cs="Arial"/>
        </w:rPr>
      </w:pPr>
      <w:r>
        <w:rPr>
          <w:rFonts w:ascii="Arial" w:hAnsi="Arial" w:cs="Arial"/>
        </w:rPr>
        <w:t xml:space="preserve">Halstead, J. M. (2004). An Islamic concept of education. </w:t>
      </w:r>
      <w:r>
        <w:rPr>
          <w:rStyle w:val="11"/>
          <w:rFonts w:ascii="Arial" w:hAnsi="Arial" w:cs="Arial"/>
        </w:rPr>
        <w:t>Comparative Education, 40</w:t>
      </w:r>
      <w:r>
        <w:rPr>
          <w:rFonts w:ascii="Arial" w:hAnsi="Arial" w:cs="Arial"/>
        </w:rPr>
        <w:t>(4), 517–529.</w:t>
      </w:r>
    </w:p>
    <w:p w14:paraId="72448EC3">
      <w:pPr>
        <w:pStyle w:val="13"/>
        <w:ind w:left="720" w:hanging="720"/>
        <w:jc w:val="both"/>
        <w:rPr>
          <w:rFonts w:ascii="Arial" w:hAnsi="Arial" w:cs="Arial"/>
        </w:rPr>
      </w:pPr>
      <w:r>
        <w:rPr>
          <w:rFonts w:ascii="Arial" w:hAnsi="Arial" w:cs="Arial"/>
        </w:rPr>
        <w:t xml:space="preserve">Harris, A. (2014). </w:t>
      </w:r>
      <w:r>
        <w:rPr>
          <w:rStyle w:val="11"/>
          <w:rFonts w:ascii="Arial" w:hAnsi="Arial" w:cs="Arial"/>
        </w:rPr>
        <w:t>Distributed leadership matters</w:t>
      </w:r>
      <w:r>
        <w:rPr>
          <w:rFonts w:ascii="Arial" w:hAnsi="Arial" w:cs="Arial"/>
        </w:rPr>
        <w:t>. Corwin Press.</w:t>
      </w:r>
    </w:p>
    <w:p w14:paraId="4B25C2C1">
      <w:pPr>
        <w:pStyle w:val="13"/>
        <w:ind w:left="720" w:hanging="720"/>
        <w:jc w:val="both"/>
        <w:rPr>
          <w:rFonts w:ascii="Arial" w:hAnsi="Arial" w:cs="Arial"/>
        </w:rPr>
      </w:pPr>
      <w:r>
        <w:rPr>
          <w:rFonts w:ascii="Arial" w:hAnsi="Arial" w:cs="Arial"/>
        </w:rPr>
        <w:t xml:space="preserve">Noor, M. A. (2021). Teacher leadership in Islamic educational institutions. </w:t>
      </w:r>
      <w:r>
        <w:rPr>
          <w:rStyle w:val="11"/>
          <w:rFonts w:ascii="Arial" w:hAnsi="Arial" w:cs="Arial"/>
        </w:rPr>
        <w:t>Journal of Muslim Education, 5</w:t>
      </w:r>
      <w:r>
        <w:rPr>
          <w:rFonts w:ascii="Arial" w:hAnsi="Arial" w:cs="Arial"/>
        </w:rPr>
        <w:t>(2), 33–47.</w:t>
      </w:r>
    </w:p>
    <w:p w14:paraId="02AD3FF5">
      <w:pPr>
        <w:pStyle w:val="13"/>
        <w:ind w:left="720" w:hanging="720"/>
        <w:jc w:val="both"/>
        <w:rPr>
          <w:rFonts w:ascii="Arial" w:hAnsi="Arial" w:cs="Arial"/>
        </w:rPr>
      </w:pPr>
      <w:r>
        <w:rPr>
          <w:rFonts w:ascii="Arial" w:hAnsi="Arial" w:cs="Arial"/>
        </w:rPr>
        <w:t xml:space="preserve">Rahman, F. (2018). Professional development challenges of Islamic school teachers. </w:t>
      </w:r>
      <w:r>
        <w:rPr>
          <w:rStyle w:val="11"/>
          <w:rFonts w:ascii="Arial" w:hAnsi="Arial" w:cs="Arial"/>
        </w:rPr>
        <w:t>Journal of Islamic Education, 10</w:t>
      </w:r>
      <w:r>
        <w:rPr>
          <w:rFonts w:ascii="Arial" w:hAnsi="Arial" w:cs="Arial"/>
        </w:rPr>
        <w:t>(1), 15–28.</w:t>
      </w:r>
    </w:p>
    <w:p w14:paraId="4B7B4550">
      <w:pPr>
        <w:pStyle w:val="13"/>
        <w:ind w:left="720" w:hanging="720"/>
        <w:jc w:val="both"/>
        <w:rPr>
          <w:rFonts w:ascii="Arial" w:hAnsi="Arial" w:cs="Arial"/>
        </w:rPr>
      </w:pPr>
      <w:r>
        <w:rPr>
          <w:rFonts w:ascii="Arial" w:hAnsi="Arial" w:cs="Arial"/>
        </w:rPr>
        <w:t xml:space="preserve">Sugito. (2024). Teacher training in Islamic education: A systematic review. </w:t>
      </w:r>
      <w:r>
        <w:rPr>
          <w:rStyle w:val="11"/>
          <w:rFonts w:ascii="Arial" w:hAnsi="Arial" w:cs="Arial"/>
        </w:rPr>
        <w:t>Educational Technology Journal, 9</w:t>
      </w:r>
      <w:r>
        <w:rPr>
          <w:rFonts w:ascii="Arial" w:hAnsi="Arial" w:cs="Arial"/>
        </w:rPr>
        <w:t>(1), 1–12.</w:t>
      </w:r>
    </w:p>
    <w:p w14:paraId="531EE774">
      <w:pPr>
        <w:pStyle w:val="13"/>
        <w:ind w:left="720" w:hanging="720"/>
        <w:jc w:val="both"/>
        <w:rPr>
          <w:rFonts w:ascii="Arial" w:hAnsi="Arial" w:cs="Arial"/>
        </w:rPr>
      </w:pPr>
      <w:r>
        <w:rPr>
          <w:rFonts w:ascii="Arial" w:hAnsi="Arial" w:cs="Arial"/>
        </w:rPr>
        <w:t xml:space="preserve">Sultan, M., Thaha, A., &amp; Sanusi, A. (2025). Principal strategies in enhancing teacher competence in Islamic schools. </w:t>
      </w:r>
      <w:r>
        <w:rPr>
          <w:rStyle w:val="11"/>
          <w:rFonts w:ascii="Arial" w:hAnsi="Arial" w:cs="Arial"/>
        </w:rPr>
        <w:t>International Journal of Asian Education, 6</w:t>
      </w:r>
      <w:r>
        <w:rPr>
          <w:rFonts w:ascii="Arial" w:hAnsi="Arial" w:cs="Arial"/>
        </w:rPr>
        <w:t>(1), 22–39.</w:t>
      </w:r>
    </w:p>
    <w:p w14:paraId="63A2325E">
      <w:pPr>
        <w:pStyle w:val="13"/>
        <w:ind w:left="720" w:hanging="720"/>
        <w:jc w:val="both"/>
        <w:rPr>
          <w:rFonts w:ascii="Arial" w:hAnsi="Arial" w:cs="Arial"/>
        </w:rPr>
      </w:pPr>
      <w:r>
        <w:rPr>
          <w:rFonts w:ascii="Arial" w:hAnsi="Arial" w:cs="Arial"/>
        </w:rPr>
        <w:t xml:space="preserve">Al-Awidi, H., &amp; Abdelghani, A. (2016). Professional development of Islamic teachers: Challenges and opportunities. </w:t>
      </w:r>
      <w:r>
        <w:rPr>
          <w:rFonts w:ascii="Arial" w:hAnsi="Arial" w:cs="Arial"/>
          <w:i/>
          <w:iCs/>
        </w:rPr>
        <w:t>International Journal of Educational Development, 48</w:t>
      </w:r>
      <w:r>
        <w:rPr>
          <w:rFonts w:ascii="Arial" w:hAnsi="Arial" w:cs="Arial"/>
        </w:rPr>
        <w:t>, 56–64. https://doi.org/10.1016/j.ijedudev.2016.01.005</w:t>
      </w:r>
    </w:p>
    <w:p w14:paraId="60732932">
      <w:pPr>
        <w:pStyle w:val="13"/>
        <w:ind w:left="720" w:hanging="720"/>
        <w:jc w:val="both"/>
        <w:rPr>
          <w:rFonts w:ascii="Arial" w:hAnsi="Arial" w:cs="Arial"/>
        </w:rPr>
      </w:pPr>
      <w:r>
        <w:rPr>
          <w:rFonts w:ascii="Arial" w:hAnsi="Arial" w:cs="Arial"/>
        </w:rPr>
        <w:t xml:space="preserve">Al-Khawarizmi, A., &amp; Karim, R. (2019). Teacher professional development in Islamic education: Regional insights. </w:t>
      </w:r>
      <w:r>
        <w:rPr>
          <w:rFonts w:ascii="Arial" w:hAnsi="Arial" w:cs="Arial"/>
          <w:i/>
          <w:iCs/>
        </w:rPr>
        <w:t>Journal of Islamic Education, 8</w:t>
      </w:r>
      <w:r>
        <w:rPr>
          <w:rFonts w:ascii="Arial" w:hAnsi="Arial" w:cs="Arial"/>
        </w:rPr>
        <w:t>(2), 45–59.</w:t>
      </w:r>
    </w:p>
    <w:p w14:paraId="3D005654">
      <w:pPr>
        <w:pStyle w:val="13"/>
        <w:ind w:left="720" w:hanging="720"/>
        <w:jc w:val="both"/>
        <w:rPr>
          <w:rFonts w:ascii="Arial" w:hAnsi="Arial" w:cs="Arial"/>
        </w:rPr>
      </w:pPr>
      <w:r>
        <w:rPr>
          <w:rFonts w:ascii="Arial" w:hAnsi="Arial" w:cs="Arial"/>
        </w:rPr>
        <w:t xml:space="preserve">Al-Khalifa, H., &amp; Al-Ansari, F. (2017). Enhancing instructional capacity of Islamic religious teachers. </w:t>
      </w:r>
      <w:r>
        <w:rPr>
          <w:rFonts w:ascii="Arial" w:hAnsi="Arial" w:cs="Arial"/>
          <w:i/>
          <w:iCs/>
        </w:rPr>
        <w:t>Asian Journal of Education, 9</w:t>
      </w:r>
      <w:r>
        <w:rPr>
          <w:rFonts w:ascii="Arial" w:hAnsi="Arial" w:cs="Arial"/>
        </w:rPr>
        <w:t>(1), 33–47.</w:t>
      </w:r>
    </w:p>
    <w:p w14:paraId="50FCB553">
      <w:pPr>
        <w:pStyle w:val="13"/>
        <w:ind w:left="720" w:hanging="720"/>
        <w:jc w:val="both"/>
        <w:rPr>
          <w:rFonts w:ascii="Arial" w:hAnsi="Arial" w:cs="Arial"/>
        </w:rPr>
      </w:pPr>
      <w:r>
        <w:rPr>
          <w:rFonts w:ascii="Arial" w:hAnsi="Arial" w:cs="Arial"/>
        </w:rPr>
        <w:t xml:space="preserve">Nasution, M. (2020). The role of Islamic teachers in shaping moral and spiritual development. </w:t>
      </w:r>
      <w:r>
        <w:rPr>
          <w:rFonts w:ascii="Arial" w:hAnsi="Arial" w:cs="Arial"/>
          <w:i/>
          <w:iCs/>
        </w:rPr>
        <w:t>Indonesian Journal of Religious Studies, 5</w:t>
      </w:r>
      <w:r>
        <w:rPr>
          <w:rFonts w:ascii="Arial" w:hAnsi="Arial" w:cs="Arial"/>
        </w:rPr>
        <w:t>(2), 22–38.</w:t>
      </w:r>
    </w:p>
    <w:p w14:paraId="09C4FEB5">
      <w:pPr>
        <w:pStyle w:val="13"/>
        <w:ind w:left="720" w:hanging="720"/>
        <w:jc w:val="both"/>
        <w:rPr>
          <w:rFonts w:ascii="Arial" w:hAnsi="Arial" w:cs="Arial"/>
        </w:rPr>
      </w:pPr>
      <w:r>
        <w:rPr>
          <w:rFonts w:ascii="Arial" w:hAnsi="Arial" w:cs="Arial"/>
        </w:rPr>
        <w:t xml:space="preserve">Othman, R., &amp; Ismail, M. (2015). Professional development of Islamic religious teachers in Southeast Asia. </w:t>
      </w:r>
      <w:r>
        <w:rPr>
          <w:rFonts w:ascii="Arial" w:hAnsi="Arial" w:cs="Arial"/>
          <w:i/>
          <w:iCs/>
        </w:rPr>
        <w:t>Education and Society, 33</w:t>
      </w:r>
      <w:r>
        <w:rPr>
          <w:rFonts w:ascii="Arial" w:hAnsi="Arial" w:cs="Arial"/>
        </w:rPr>
        <w:t>(1), 12–28.</w:t>
      </w:r>
    </w:p>
    <w:p w14:paraId="656C1927">
      <w:pPr>
        <w:pStyle w:val="13"/>
        <w:ind w:left="720" w:hanging="720"/>
        <w:jc w:val="both"/>
        <w:rPr>
          <w:rFonts w:ascii="Arial" w:hAnsi="Arial" w:cs="Arial"/>
        </w:rPr>
      </w:pPr>
      <w:r>
        <w:rPr>
          <w:rFonts w:ascii="Arial" w:hAnsi="Arial" w:cs="Arial"/>
        </w:rPr>
        <w:t xml:space="preserve">Tahir, L., &amp; Idris, A. (2018). Challenges in professional development of Islamic educators. </w:t>
      </w:r>
      <w:r>
        <w:rPr>
          <w:rFonts w:ascii="Arial" w:hAnsi="Arial" w:cs="Arial"/>
          <w:i/>
          <w:iCs/>
        </w:rPr>
        <w:t>International Journal of Islamic Studies, 11</w:t>
      </w:r>
      <w:r>
        <w:rPr>
          <w:rFonts w:ascii="Arial" w:hAnsi="Arial" w:cs="Arial"/>
        </w:rPr>
        <w:t>(3), 67–84.</w:t>
      </w:r>
    </w:p>
    <w:p w14:paraId="7F0DDE3B">
      <w:pPr>
        <w:pStyle w:val="13"/>
        <w:ind w:left="720" w:hanging="720"/>
        <w:jc w:val="both"/>
        <w:rPr>
          <w:rFonts w:ascii="Arial" w:hAnsi="Arial" w:cs="Arial"/>
        </w:rPr>
      </w:pPr>
      <w:r>
        <w:rPr>
          <w:rFonts w:ascii="Arial" w:hAnsi="Arial" w:cs="Arial"/>
        </w:rPr>
        <w:t xml:space="preserve">Arar, K. (2019). Islamic education in multicultural contexts: The role of teachers. </w:t>
      </w:r>
      <w:r>
        <w:rPr>
          <w:rFonts w:ascii="Arial" w:hAnsi="Arial" w:cs="Arial"/>
          <w:i/>
          <w:iCs/>
        </w:rPr>
        <w:t>Journal of Educational Research and Practice, 9</w:t>
      </w:r>
      <w:r>
        <w:rPr>
          <w:rFonts w:ascii="Arial" w:hAnsi="Arial" w:cs="Arial"/>
        </w:rPr>
        <w:t>(1), 15–28.</w:t>
      </w:r>
    </w:p>
    <w:p w14:paraId="5213814E">
      <w:pPr>
        <w:tabs>
          <w:tab w:val="left" w:pos="1440"/>
          <w:tab w:val="left" w:pos="1890"/>
        </w:tabs>
        <w:ind w:left="720" w:hanging="720"/>
        <w:jc w:val="both"/>
        <w:rPr>
          <w:rFonts w:ascii="Arial" w:hAnsi="Arial" w:cs="Arial"/>
          <w:sz w:val="24"/>
          <w:szCs w:val="24"/>
        </w:rPr>
      </w:pPr>
      <w:r>
        <w:rPr>
          <w:rFonts w:ascii="Arial" w:hAnsi="Arial" w:cs="Arial"/>
          <w:sz w:val="24"/>
          <w:szCs w:val="24"/>
        </w:rPr>
        <w:t xml:space="preserve">Adhan, S. (2021). </w:t>
      </w:r>
      <w:r>
        <w:rPr>
          <w:rFonts w:ascii="Arial" w:hAnsi="Arial" w:cs="Arial"/>
          <w:i/>
          <w:iCs/>
          <w:sz w:val="24"/>
          <w:szCs w:val="24"/>
        </w:rPr>
        <w:t>Pebbles in the teacher’s shoes: Portraits and challenges of       religious moderation of Islamic religious education teachers</w:t>
      </w:r>
      <w:r>
        <w:rPr>
          <w:rFonts w:ascii="Arial" w:hAnsi="Arial" w:cs="Arial"/>
          <w:sz w:val="24"/>
          <w:szCs w:val="24"/>
        </w:rPr>
        <w:t>. Al-Qalam.</w:t>
      </w:r>
    </w:p>
    <w:p w14:paraId="5154818D">
      <w:pPr>
        <w:tabs>
          <w:tab w:val="left" w:pos="1440"/>
        </w:tabs>
        <w:ind w:left="720" w:hanging="720"/>
        <w:jc w:val="both"/>
        <w:rPr>
          <w:rFonts w:ascii="Arial" w:hAnsi="Arial" w:cs="Arial"/>
          <w:sz w:val="24"/>
          <w:szCs w:val="24"/>
        </w:rPr>
      </w:pPr>
      <w:r>
        <w:rPr>
          <w:rFonts w:ascii="Arial" w:hAnsi="Arial" w:cs="Arial"/>
          <w:sz w:val="24"/>
          <w:szCs w:val="24"/>
        </w:rPr>
        <w:t xml:space="preserve">Amirullah, Y., &amp; Hamami, T. (2020). Organization and design of development of Islamic religious education in Indonesia. </w:t>
      </w:r>
      <w:r>
        <w:rPr>
          <w:rFonts w:ascii="Arial" w:hAnsi="Arial" w:cs="Arial"/>
          <w:i/>
          <w:iCs/>
          <w:sz w:val="24"/>
          <w:szCs w:val="24"/>
        </w:rPr>
        <w:t>At-Tadib</w:t>
      </w:r>
      <w:r>
        <w:rPr>
          <w:rFonts w:ascii="Arial" w:hAnsi="Arial" w:cs="Arial"/>
          <w:sz w:val="24"/>
          <w:szCs w:val="24"/>
        </w:rPr>
        <w:t>.</w:t>
      </w:r>
    </w:p>
    <w:p w14:paraId="31FACD7F">
      <w:pPr>
        <w:tabs>
          <w:tab w:val="left" w:pos="1440"/>
        </w:tabs>
        <w:ind w:left="720" w:hanging="720"/>
        <w:jc w:val="both"/>
        <w:rPr>
          <w:rFonts w:ascii="Arial" w:hAnsi="Arial" w:cs="Arial"/>
          <w:sz w:val="24"/>
          <w:szCs w:val="24"/>
        </w:rPr>
      </w:pPr>
      <w:r>
        <w:rPr>
          <w:rFonts w:ascii="Arial" w:hAnsi="Arial" w:cs="Arial"/>
          <w:sz w:val="24"/>
          <w:szCs w:val="24"/>
        </w:rPr>
        <w:t xml:space="preserve">Awaluddin, A., &amp; Mahmud, B. (2022). The role of higher education culture in the professional development of lecturers through religious moderation education: A case study of student organizations at Bone State Islamic Institute, Indonesia. </w:t>
      </w:r>
      <w:r>
        <w:rPr>
          <w:rFonts w:ascii="Arial" w:hAnsi="Arial" w:cs="Arial"/>
          <w:i/>
          <w:iCs/>
          <w:sz w:val="24"/>
          <w:szCs w:val="24"/>
        </w:rPr>
        <w:t>International Journal of Science and Society, 5</w:t>
      </w:r>
      <w:r>
        <w:rPr>
          <w:rFonts w:ascii="Arial" w:hAnsi="Arial" w:cs="Arial"/>
          <w:sz w:val="24"/>
          <w:szCs w:val="24"/>
        </w:rPr>
        <w:t>(3), 448–449.</w:t>
      </w:r>
    </w:p>
    <w:p w14:paraId="7DAA61B7">
      <w:pPr>
        <w:tabs>
          <w:tab w:val="left" w:pos="1440"/>
        </w:tabs>
        <w:ind w:left="720" w:hanging="720"/>
        <w:jc w:val="both"/>
        <w:rPr>
          <w:rFonts w:ascii="Arial" w:hAnsi="Arial" w:cs="Arial"/>
          <w:sz w:val="24"/>
          <w:szCs w:val="24"/>
        </w:rPr>
      </w:pPr>
      <w:r>
        <w:rPr>
          <w:rFonts w:ascii="Arial" w:hAnsi="Arial" w:cs="Arial"/>
          <w:sz w:val="24"/>
          <w:szCs w:val="24"/>
        </w:rPr>
        <w:t xml:space="preserve">Darmawan, A. (2023). Paradigm changes in patterns of Islamic religious education during the Covid-19 pandemic. </w:t>
      </w:r>
      <w:r>
        <w:rPr>
          <w:rFonts w:ascii="Arial" w:hAnsi="Arial" w:cs="Arial"/>
          <w:i/>
          <w:iCs/>
          <w:sz w:val="24"/>
          <w:szCs w:val="24"/>
        </w:rPr>
        <w:t>International Journal of Social Science and Humanities Research</w:t>
      </w:r>
      <w:r>
        <w:rPr>
          <w:rFonts w:ascii="Arial" w:hAnsi="Arial" w:cs="Arial"/>
          <w:sz w:val="24"/>
          <w:szCs w:val="24"/>
        </w:rPr>
        <w:t>.</w:t>
      </w:r>
    </w:p>
    <w:p w14:paraId="0C73AEDB">
      <w:pPr>
        <w:tabs>
          <w:tab w:val="left" w:pos="1440"/>
        </w:tabs>
        <w:ind w:left="720" w:hanging="720"/>
        <w:jc w:val="both"/>
        <w:rPr>
          <w:rFonts w:ascii="Arial" w:hAnsi="Arial" w:cs="Arial"/>
          <w:sz w:val="24"/>
          <w:szCs w:val="24"/>
        </w:rPr>
      </w:pPr>
      <w:r>
        <w:rPr>
          <w:rFonts w:ascii="Arial" w:hAnsi="Arial" w:cs="Arial"/>
          <w:sz w:val="24"/>
          <w:szCs w:val="24"/>
        </w:rPr>
        <w:t xml:space="preserve">Dian, D., Indayanti, A. N., Fanani, A. I., &amp; Nurhayati, E. (2023). Optimizing Islamic religious colleges in facing the era of globalization. </w:t>
      </w:r>
      <w:r>
        <w:rPr>
          <w:rFonts w:ascii="Arial" w:hAnsi="Arial" w:cs="Arial"/>
          <w:i/>
          <w:iCs/>
          <w:sz w:val="24"/>
          <w:szCs w:val="24"/>
        </w:rPr>
        <w:t>Tarbiyah: Journal of Islamic Education, 4</w:t>
      </w:r>
      <w:r>
        <w:rPr>
          <w:rFonts w:ascii="Arial" w:hAnsi="Arial" w:cs="Arial"/>
          <w:sz w:val="24"/>
          <w:szCs w:val="24"/>
        </w:rPr>
        <w:t>(1).</w:t>
      </w:r>
    </w:p>
    <w:p w14:paraId="4D07C752">
      <w:pPr>
        <w:tabs>
          <w:tab w:val="left" w:pos="1440"/>
        </w:tabs>
        <w:ind w:left="720" w:hanging="720"/>
        <w:jc w:val="both"/>
        <w:rPr>
          <w:rFonts w:ascii="Arial" w:hAnsi="Arial" w:cs="Arial"/>
          <w:sz w:val="24"/>
          <w:szCs w:val="24"/>
        </w:rPr>
      </w:pPr>
      <w:r>
        <w:rPr>
          <w:rFonts w:ascii="Arial" w:hAnsi="Arial" w:cs="Arial"/>
          <w:sz w:val="24"/>
          <w:szCs w:val="24"/>
        </w:rPr>
        <w:t xml:space="preserve">Essabane, K., Vermeer, P., &amp; Sterkens, C. (2022). Islamic religious education and citizenship education: Their relationship according to practitioners of primary Islamic religious education in the Netherlands. </w:t>
      </w:r>
      <w:r>
        <w:rPr>
          <w:rFonts w:ascii="Arial" w:hAnsi="Arial" w:cs="Arial"/>
          <w:i/>
          <w:iCs/>
          <w:sz w:val="24"/>
          <w:szCs w:val="24"/>
        </w:rPr>
        <w:t>Religions</w:t>
      </w:r>
      <w:r>
        <w:rPr>
          <w:rFonts w:ascii="Arial" w:hAnsi="Arial" w:cs="Arial"/>
          <w:sz w:val="24"/>
          <w:szCs w:val="24"/>
        </w:rPr>
        <w:t>.</w:t>
      </w:r>
    </w:p>
    <w:p w14:paraId="3E7684BB">
      <w:pPr>
        <w:tabs>
          <w:tab w:val="left" w:pos="1440"/>
        </w:tabs>
        <w:ind w:left="720" w:hanging="720"/>
        <w:jc w:val="both"/>
        <w:rPr>
          <w:rFonts w:ascii="Arial" w:hAnsi="Arial" w:cs="Arial"/>
          <w:sz w:val="24"/>
          <w:szCs w:val="24"/>
        </w:rPr>
      </w:pPr>
      <w:r>
        <w:rPr>
          <w:rFonts w:ascii="Arial" w:hAnsi="Arial" w:cs="Arial"/>
          <w:sz w:val="24"/>
          <w:szCs w:val="24"/>
        </w:rPr>
        <w:t xml:space="preserve">Machendrawaty, N., Shodiqin, A., &amp; Effendi, D. (2022). Da’wah education based on religious moderation training using digital technology at Islamic boarding schools in East Bandung. </w:t>
      </w:r>
      <w:r>
        <w:rPr>
          <w:rFonts w:ascii="Arial" w:hAnsi="Arial" w:cs="Arial"/>
          <w:i/>
          <w:iCs/>
          <w:sz w:val="24"/>
          <w:szCs w:val="24"/>
        </w:rPr>
        <w:t>Islamic Da’wah and Humanities Journal</w:t>
      </w:r>
      <w:r>
        <w:rPr>
          <w:rFonts w:ascii="Arial" w:hAnsi="Arial" w:cs="Arial"/>
          <w:sz w:val="24"/>
          <w:szCs w:val="24"/>
        </w:rPr>
        <w:t>.</w:t>
      </w:r>
    </w:p>
    <w:p w14:paraId="63CEE202">
      <w:pPr>
        <w:tabs>
          <w:tab w:val="left" w:pos="1440"/>
        </w:tabs>
        <w:ind w:left="720" w:hanging="720"/>
        <w:jc w:val="both"/>
        <w:rPr>
          <w:rFonts w:ascii="Arial" w:hAnsi="Arial" w:cs="Arial"/>
          <w:sz w:val="24"/>
          <w:szCs w:val="24"/>
        </w:rPr>
      </w:pPr>
      <w:r>
        <w:rPr>
          <w:rFonts w:ascii="Arial" w:hAnsi="Arial" w:cs="Arial"/>
          <w:sz w:val="24"/>
          <w:szCs w:val="24"/>
        </w:rPr>
        <w:t xml:space="preserve">Mansir, F. (2022). Problems of Islamic religious education in the digital era. </w:t>
      </w:r>
      <w:r>
        <w:rPr>
          <w:rFonts w:ascii="Arial" w:hAnsi="Arial" w:cs="Arial"/>
          <w:i/>
          <w:iCs/>
          <w:sz w:val="24"/>
          <w:szCs w:val="24"/>
        </w:rPr>
        <w:t>Tadib: Journal of Islamic Education</w:t>
      </w:r>
      <w:r>
        <w:rPr>
          <w:rFonts w:ascii="Arial" w:hAnsi="Arial" w:cs="Arial"/>
          <w:sz w:val="24"/>
          <w:szCs w:val="24"/>
        </w:rPr>
        <w:t>.</w:t>
      </w:r>
    </w:p>
    <w:p w14:paraId="12C14C08">
      <w:pPr>
        <w:tabs>
          <w:tab w:val="left" w:pos="1440"/>
        </w:tabs>
        <w:ind w:left="720" w:hanging="720"/>
        <w:jc w:val="both"/>
        <w:rPr>
          <w:rFonts w:ascii="Arial" w:hAnsi="Arial" w:cs="Arial"/>
          <w:sz w:val="24"/>
          <w:szCs w:val="24"/>
        </w:rPr>
      </w:pPr>
      <w:r>
        <w:rPr>
          <w:rFonts w:ascii="Arial" w:hAnsi="Arial" w:cs="Arial"/>
          <w:sz w:val="24"/>
          <w:szCs w:val="24"/>
        </w:rPr>
        <w:t xml:space="preserve">Marjuni, M. (2022). The transformation of Islamic education and the global future challenges of Islamic higher education in Indonesia. </w:t>
      </w:r>
      <w:r>
        <w:rPr>
          <w:rFonts w:ascii="Arial" w:hAnsi="Arial" w:cs="Arial"/>
          <w:i/>
          <w:iCs/>
          <w:sz w:val="24"/>
          <w:szCs w:val="24"/>
        </w:rPr>
        <w:t>Lentera Pendidikan</w:t>
      </w:r>
      <w:r>
        <w:rPr>
          <w:rFonts w:ascii="Arial" w:hAnsi="Arial" w:cs="Arial"/>
          <w:sz w:val="24"/>
          <w:szCs w:val="24"/>
        </w:rPr>
        <w:t>.</w:t>
      </w:r>
    </w:p>
    <w:p w14:paraId="1C8E9890">
      <w:pPr>
        <w:tabs>
          <w:tab w:val="left" w:pos="1440"/>
        </w:tabs>
        <w:ind w:left="720" w:hanging="720"/>
        <w:jc w:val="both"/>
        <w:rPr>
          <w:rFonts w:ascii="Arial" w:hAnsi="Arial" w:cs="Arial"/>
          <w:sz w:val="24"/>
          <w:szCs w:val="24"/>
        </w:rPr>
      </w:pPr>
      <w:r>
        <w:rPr>
          <w:rFonts w:ascii="Arial" w:hAnsi="Arial" w:cs="Arial"/>
          <w:sz w:val="24"/>
          <w:szCs w:val="24"/>
        </w:rPr>
        <w:t xml:space="preserve">Mulyana, R., Kurahman, O. T., &amp; Fauzi, R. (2023). Professional development for Islamic religious education and madrasah teachers. </w:t>
      </w:r>
      <w:r>
        <w:rPr>
          <w:rFonts w:ascii="Arial" w:hAnsi="Arial" w:cs="Arial"/>
          <w:i/>
          <w:iCs/>
          <w:sz w:val="24"/>
          <w:szCs w:val="24"/>
        </w:rPr>
        <w:t>Jurnal Pendidikan Islam</w:t>
      </w:r>
      <w:r>
        <w:rPr>
          <w:rFonts w:ascii="Arial" w:hAnsi="Arial" w:cs="Arial"/>
          <w:sz w:val="24"/>
          <w:szCs w:val="24"/>
        </w:rPr>
        <w:t>.</w:t>
      </w:r>
    </w:p>
    <w:p w14:paraId="257F94FF">
      <w:pPr>
        <w:tabs>
          <w:tab w:val="left" w:pos="1440"/>
        </w:tabs>
        <w:ind w:left="720" w:hanging="720"/>
        <w:jc w:val="both"/>
        <w:rPr>
          <w:rFonts w:ascii="Arial" w:hAnsi="Arial" w:cs="Arial"/>
          <w:sz w:val="24"/>
          <w:szCs w:val="24"/>
        </w:rPr>
      </w:pPr>
      <w:r>
        <w:rPr>
          <w:rFonts w:ascii="Arial" w:hAnsi="Arial" w:cs="Arial"/>
          <w:sz w:val="24"/>
          <w:szCs w:val="24"/>
        </w:rPr>
        <w:t xml:space="preserve">Nurhakim, N., &amp; Sunhaji, S. (2022). The influence of the use of online learning media (WhatsApp, Google Form, and Google Meet) on online Islamic religious education learning during the Covid-19 pandemic. </w:t>
      </w:r>
      <w:r>
        <w:rPr>
          <w:rFonts w:ascii="Arial" w:hAnsi="Arial" w:cs="Arial"/>
          <w:i/>
          <w:iCs/>
          <w:sz w:val="24"/>
          <w:szCs w:val="24"/>
        </w:rPr>
        <w:t>Fondatia: Jurnal Pendidikan Islam</w:t>
      </w:r>
      <w:r>
        <w:rPr>
          <w:rFonts w:ascii="Arial" w:hAnsi="Arial" w:cs="Arial"/>
          <w:sz w:val="24"/>
          <w:szCs w:val="24"/>
        </w:rPr>
        <w:t>.</w:t>
      </w:r>
    </w:p>
    <w:p w14:paraId="2A83B575">
      <w:pPr>
        <w:tabs>
          <w:tab w:val="left" w:pos="1440"/>
        </w:tabs>
        <w:ind w:left="720" w:hanging="720"/>
        <w:jc w:val="both"/>
        <w:rPr>
          <w:rFonts w:ascii="Arial" w:hAnsi="Arial" w:cs="Arial"/>
          <w:sz w:val="24"/>
          <w:szCs w:val="24"/>
        </w:rPr>
      </w:pPr>
      <w:r>
        <w:rPr>
          <w:rFonts w:ascii="Arial" w:hAnsi="Arial" w:cs="Arial"/>
          <w:sz w:val="24"/>
          <w:szCs w:val="24"/>
        </w:rPr>
        <w:t xml:space="preserve">Nurdin, N., Nurliana, N., &amp; Mashuri, S. (2022). Online Islamic religious education learning during the Covid-19 pandemic. </w:t>
      </w:r>
      <w:r>
        <w:rPr>
          <w:rFonts w:ascii="Arial" w:hAnsi="Arial" w:cs="Arial"/>
          <w:i/>
          <w:iCs/>
          <w:sz w:val="24"/>
          <w:szCs w:val="24"/>
        </w:rPr>
        <w:t>International Journal of Contemporary Islamic Education</w:t>
      </w:r>
      <w:r>
        <w:rPr>
          <w:rFonts w:ascii="Arial" w:hAnsi="Arial" w:cs="Arial"/>
          <w:sz w:val="24"/>
          <w:szCs w:val="24"/>
        </w:rPr>
        <w:t>.</w:t>
      </w:r>
    </w:p>
    <w:p w14:paraId="19D51389">
      <w:pPr>
        <w:tabs>
          <w:tab w:val="left" w:pos="1440"/>
        </w:tabs>
        <w:ind w:left="720" w:hanging="720"/>
        <w:jc w:val="both"/>
        <w:rPr>
          <w:rFonts w:ascii="Arial" w:hAnsi="Arial" w:cs="Arial"/>
          <w:sz w:val="24"/>
          <w:szCs w:val="24"/>
        </w:rPr>
      </w:pPr>
      <w:r>
        <w:rPr>
          <w:rFonts w:ascii="Arial" w:hAnsi="Arial" w:cs="Arial"/>
          <w:sz w:val="24"/>
          <w:szCs w:val="24"/>
        </w:rPr>
        <w:t xml:space="preserve">Purwanto, Y., Saepudin, A., &amp; Sofaussamawati, S. (2023). The development of reflective practices for Islamic religious education teachers. </w:t>
      </w:r>
      <w:r>
        <w:rPr>
          <w:rFonts w:ascii="Arial" w:hAnsi="Arial" w:cs="Arial"/>
          <w:i/>
          <w:iCs/>
          <w:sz w:val="24"/>
          <w:szCs w:val="24"/>
        </w:rPr>
        <w:t>Jurnal Pendidikan Islam</w:t>
      </w:r>
      <w:r>
        <w:rPr>
          <w:rFonts w:ascii="Arial" w:hAnsi="Arial" w:cs="Arial"/>
          <w:sz w:val="24"/>
          <w:szCs w:val="24"/>
        </w:rPr>
        <w:t>.</w:t>
      </w:r>
    </w:p>
    <w:p w14:paraId="1E5B33EE">
      <w:pPr>
        <w:tabs>
          <w:tab w:val="left" w:pos="1440"/>
        </w:tabs>
        <w:ind w:left="720" w:hanging="720"/>
        <w:jc w:val="both"/>
        <w:rPr>
          <w:rFonts w:ascii="Arial" w:hAnsi="Arial" w:cs="Arial"/>
          <w:sz w:val="24"/>
          <w:szCs w:val="24"/>
        </w:rPr>
      </w:pPr>
      <w:r>
        <w:rPr>
          <w:rFonts w:ascii="Arial" w:hAnsi="Arial" w:cs="Arial"/>
          <w:sz w:val="24"/>
          <w:szCs w:val="24"/>
        </w:rPr>
        <w:t xml:space="preserve">Rizaq, M. (2022). Family as children’s first education: The role of parents in the development of Islamic religious education for elementary school-age children. </w:t>
      </w:r>
      <w:r>
        <w:rPr>
          <w:rFonts w:ascii="Arial" w:hAnsi="Arial" w:cs="Arial"/>
          <w:i/>
          <w:iCs/>
          <w:sz w:val="24"/>
          <w:szCs w:val="24"/>
        </w:rPr>
        <w:t>Al Risalah</w:t>
      </w:r>
      <w:r>
        <w:rPr>
          <w:rFonts w:ascii="Arial" w:hAnsi="Arial" w:cs="Arial"/>
          <w:sz w:val="24"/>
          <w:szCs w:val="24"/>
        </w:rPr>
        <w:t>.</w:t>
      </w:r>
    </w:p>
    <w:p w14:paraId="2BE3FE0A">
      <w:pPr>
        <w:tabs>
          <w:tab w:val="left" w:pos="1440"/>
        </w:tabs>
        <w:ind w:left="720" w:hanging="720"/>
        <w:jc w:val="both"/>
        <w:rPr>
          <w:rFonts w:ascii="Arial" w:hAnsi="Arial" w:cs="Arial"/>
          <w:sz w:val="24"/>
          <w:szCs w:val="24"/>
        </w:rPr>
      </w:pPr>
      <w:r>
        <w:rPr>
          <w:rFonts w:ascii="Arial" w:hAnsi="Arial" w:cs="Arial"/>
          <w:sz w:val="24"/>
          <w:szCs w:val="24"/>
        </w:rPr>
        <w:t xml:space="preserve">Rosyada, D., &amp; Andriyani, A. (2020). Challenges of Islamic religious education due to the implementation of Industry 4.0. In </w:t>
      </w:r>
      <w:r>
        <w:rPr>
          <w:rFonts w:ascii="Arial" w:hAnsi="Arial" w:cs="Arial"/>
          <w:i/>
          <w:iCs/>
          <w:sz w:val="24"/>
          <w:szCs w:val="24"/>
        </w:rPr>
        <w:t>EAI International Conference on Islamic Education</w:t>
      </w:r>
      <w:r>
        <w:rPr>
          <w:rFonts w:ascii="Arial" w:hAnsi="Arial" w:cs="Arial"/>
          <w:sz w:val="24"/>
          <w:szCs w:val="24"/>
        </w:rPr>
        <w:t>.</w:t>
      </w:r>
    </w:p>
    <w:p w14:paraId="64959189">
      <w:pPr>
        <w:tabs>
          <w:tab w:val="left" w:pos="1440"/>
        </w:tabs>
        <w:ind w:left="720" w:hanging="720"/>
        <w:jc w:val="both"/>
        <w:rPr>
          <w:rFonts w:ascii="Arial" w:hAnsi="Arial" w:cs="Arial"/>
          <w:sz w:val="24"/>
          <w:szCs w:val="24"/>
        </w:rPr>
      </w:pPr>
      <w:r>
        <w:rPr>
          <w:rFonts w:ascii="Arial" w:hAnsi="Arial" w:cs="Arial"/>
          <w:sz w:val="24"/>
          <w:szCs w:val="24"/>
        </w:rPr>
        <w:t xml:space="preserve">Saimima Saddam, H. S. (2019). Role of the teacher’s discussion subjects in enhancing the competence of Islamic religious education teachers. </w:t>
      </w:r>
      <w:r>
        <w:rPr>
          <w:rFonts w:ascii="Arial" w:hAnsi="Arial" w:cs="Arial"/>
          <w:i/>
          <w:iCs/>
          <w:sz w:val="24"/>
          <w:szCs w:val="24"/>
        </w:rPr>
        <w:t>Al-Tadzkiyyah: Jurnal Pendidikan Islam</w:t>
      </w:r>
      <w:r>
        <w:rPr>
          <w:rFonts w:ascii="Arial" w:hAnsi="Arial" w:cs="Arial"/>
          <w:sz w:val="24"/>
          <w:szCs w:val="24"/>
        </w:rPr>
        <w:t>.</w:t>
      </w:r>
    </w:p>
    <w:p w14:paraId="58FD0EAF">
      <w:pPr>
        <w:tabs>
          <w:tab w:val="left" w:pos="1440"/>
        </w:tabs>
        <w:ind w:left="720" w:hanging="720"/>
        <w:jc w:val="both"/>
        <w:rPr>
          <w:rFonts w:ascii="Arial" w:hAnsi="Arial" w:cs="Arial"/>
          <w:sz w:val="24"/>
          <w:szCs w:val="24"/>
        </w:rPr>
      </w:pPr>
      <w:r>
        <w:rPr>
          <w:rFonts w:ascii="Arial" w:hAnsi="Arial" w:cs="Arial"/>
          <w:sz w:val="24"/>
          <w:szCs w:val="24"/>
        </w:rPr>
        <w:t xml:space="preserve">Saraya, A., Mardhatillah, A., Fitriani, E. N., &amp; Adiyono, A. (2023). The role of Islamic religious education teachers: Problems in evaluating student learning outcomes in junior high schools. </w:t>
      </w:r>
      <w:r>
        <w:rPr>
          <w:rFonts w:ascii="Arial" w:hAnsi="Arial" w:cs="Arial"/>
          <w:i/>
          <w:iCs/>
          <w:sz w:val="24"/>
          <w:szCs w:val="24"/>
        </w:rPr>
        <w:t>Educatio: Jurnal Pendidikan Indonesia</w:t>
      </w:r>
      <w:r>
        <w:rPr>
          <w:rFonts w:ascii="Arial" w:hAnsi="Arial" w:cs="Arial"/>
          <w:sz w:val="24"/>
          <w:szCs w:val="24"/>
        </w:rPr>
        <w:t>.</w:t>
      </w:r>
    </w:p>
    <w:p w14:paraId="7F292836">
      <w:pPr>
        <w:tabs>
          <w:tab w:val="left" w:pos="1440"/>
        </w:tabs>
        <w:ind w:left="720" w:hanging="720"/>
        <w:jc w:val="both"/>
        <w:rPr>
          <w:rFonts w:ascii="Arial" w:hAnsi="Arial" w:cs="Arial"/>
          <w:sz w:val="24"/>
          <w:szCs w:val="24"/>
        </w:rPr>
      </w:pPr>
      <w:r>
        <w:rPr>
          <w:rFonts w:ascii="Arial" w:hAnsi="Arial" w:cs="Arial"/>
          <w:sz w:val="24"/>
          <w:szCs w:val="24"/>
        </w:rPr>
        <w:t xml:space="preserve">Syahrizal, S., Yasmi, F., &amp; Mary, T. (2023). Discourse on artificial intelligence design using ITS and SDLC methods in building Islamic religious education learning applications. </w:t>
      </w:r>
      <w:r>
        <w:rPr>
          <w:rFonts w:ascii="Arial" w:hAnsi="Arial" w:cs="Arial"/>
          <w:i/>
          <w:iCs/>
          <w:sz w:val="24"/>
          <w:szCs w:val="24"/>
        </w:rPr>
        <w:t>Journal of Pedagogy Development and Research</w:t>
      </w:r>
      <w:r>
        <w:rPr>
          <w:rFonts w:ascii="Arial" w:hAnsi="Arial" w:cs="Arial"/>
          <w:sz w:val="24"/>
          <w:szCs w:val="24"/>
        </w:rPr>
        <w:t>.</w:t>
      </w:r>
    </w:p>
    <w:p w14:paraId="68F89B3F">
      <w:pPr>
        <w:tabs>
          <w:tab w:val="left" w:pos="1440"/>
        </w:tabs>
        <w:ind w:left="720" w:hanging="720"/>
        <w:jc w:val="both"/>
        <w:rPr>
          <w:rFonts w:ascii="Arial" w:hAnsi="Arial" w:cs="Arial"/>
          <w:sz w:val="24"/>
          <w:szCs w:val="24"/>
        </w:rPr>
      </w:pPr>
      <w:r>
        <w:rPr>
          <w:rFonts w:ascii="Arial" w:hAnsi="Arial" w:cs="Arial"/>
          <w:sz w:val="24"/>
          <w:szCs w:val="24"/>
        </w:rPr>
        <w:t xml:space="preserve">Suparjo, S., &amp; Hidayah, L. N. (2023). Islamic religious education in Indonesia: Understanding the urgency and paradigm shift from a societal perspective. </w:t>
      </w:r>
      <w:r>
        <w:rPr>
          <w:rFonts w:ascii="Arial" w:hAnsi="Arial" w:cs="Arial"/>
          <w:i/>
          <w:iCs/>
          <w:sz w:val="24"/>
          <w:szCs w:val="24"/>
        </w:rPr>
        <w:t>International Journal of Social Science and Humanities Research</w:t>
      </w:r>
      <w:r>
        <w:rPr>
          <w:rFonts w:ascii="Arial" w:hAnsi="Arial" w:cs="Arial"/>
          <w:sz w:val="24"/>
          <w:szCs w:val="24"/>
        </w:rPr>
        <w:t>.</w:t>
      </w:r>
    </w:p>
    <w:p w14:paraId="2468B500">
      <w:pPr>
        <w:tabs>
          <w:tab w:val="left" w:pos="1440"/>
        </w:tabs>
        <w:ind w:left="720" w:hanging="720"/>
        <w:jc w:val="both"/>
        <w:rPr>
          <w:rFonts w:ascii="Arial" w:hAnsi="Arial" w:cs="Arial"/>
          <w:sz w:val="24"/>
          <w:szCs w:val="24"/>
        </w:rPr>
      </w:pPr>
      <w:r>
        <w:rPr>
          <w:rFonts w:ascii="Arial" w:hAnsi="Arial" w:cs="Arial"/>
          <w:sz w:val="24"/>
          <w:szCs w:val="24"/>
        </w:rPr>
        <w:t xml:space="preserve">Syamsiah, P. N., &amp; Hamami, T. (2022). Character strengthening in the development of Islamic religious education goals of the 2013 curriculum. </w:t>
      </w:r>
      <w:r>
        <w:rPr>
          <w:rFonts w:ascii="Arial" w:hAnsi="Arial" w:cs="Arial"/>
          <w:i/>
          <w:iCs/>
          <w:sz w:val="24"/>
          <w:szCs w:val="24"/>
        </w:rPr>
        <w:t>Al Wijdan: Jurnal Kajian Ilmu Pendidikan</w:t>
      </w:r>
      <w:r>
        <w:rPr>
          <w:rFonts w:ascii="Arial" w:hAnsi="Arial" w:cs="Arial"/>
          <w:sz w:val="24"/>
          <w:szCs w:val="24"/>
        </w:rPr>
        <w:t>.</w:t>
      </w:r>
    </w:p>
    <w:p w14:paraId="5FF4972A">
      <w:pPr>
        <w:tabs>
          <w:tab w:val="left" w:pos="1440"/>
        </w:tabs>
        <w:ind w:left="720" w:hanging="720"/>
        <w:jc w:val="both"/>
        <w:rPr>
          <w:rFonts w:ascii="Arial" w:hAnsi="Arial" w:cs="Arial"/>
          <w:sz w:val="24"/>
          <w:szCs w:val="24"/>
        </w:rPr>
      </w:pPr>
      <w:r>
        <w:rPr>
          <w:rFonts w:ascii="Arial" w:hAnsi="Arial" w:cs="Arial"/>
          <w:sz w:val="24"/>
          <w:szCs w:val="24"/>
        </w:rPr>
        <w:t xml:space="preserve">Warsah, I. (2021). Islamic religious teachers’ efforts to motivate students and implement effective online learning. </w:t>
      </w:r>
      <w:r>
        <w:rPr>
          <w:rFonts w:ascii="Arial" w:hAnsi="Arial" w:cs="Arial"/>
          <w:i/>
          <w:iCs/>
          <w:sz w:val="24"/>
          <w:szCs w:val="24"/>
        </w:rPr>
        <w:t>Educatio: Jurnal Ilmu Pendidikan</w:t>
      </w:r>
      <w:r>
        <w:rPr>
          <w:rFonts w:ascii="Arial" w:hAnsi="Arial" w:cs="Arial"/>
          <w:sz w:val="24"/>
          <w:szCs w:val="24"/>
        </w:rPr>
        <w:t>.</w:t>
      </w:r>
    </w:p>
    <w:p w14:paraId="4558221D">
      <w:pPr>
        <w:tabs>
          <w:tab w:val="left" w:pos="1440"/>
        </w:tabs>
        <w:ind w:left="720" w:hanging="720"/>
        <w:jc w:val="both"/>
        <w:rPr>
          <w:rFonts w:ascii="Arial" w:hAnsi="Arial" w:cs="Arial"/>
          <w:sz w:val="24"/>
          <w:szCs w:val="24"/>
        </w:rPr>
      </w:pPr>
      <w:r>
        <w:rPr>
          <w:rFonts w:ascii="Arial" w:hAnsi="Arial" w:cs="Arial"/>
          <w:sz w:val="24"/>
          <w:szCs w:val="24"/>
        </w:rPr>
        <w:t xml:space="preserve">Zulfikar, T., Emawati, E., Dahliana, S., Akmal, S., &amp; Hidayat, D. N. (2022). Prospects and challenges towards professional development of English lecturers in Islamic tertiary education in Indonesia. </w:t>
      </w:r>
      <w:r>
        <w:rPr>
          <w:rFonts w:ascii="Arial" w:hAnsi="Arial" w:cs="Arial"/>
          <w:i/>
          <w:iCs/>
          <w:sz w:val="24"/>
          <w:szCs w:val="24"/>
        </w:rPr>
        <w:t>World Journal of Education</w:t>
      </w:r>
      <w:r>
        <w:rPr>
          <w:rFonts w:ascii="Arial" w:hAnsi="Arial" w:cs="Arial"/>
          <w:sz w:val="24"/>
          <w:szCs w:val="24"/>
        </w:rPr>
        <w:t>.</w:t>
      </w:r>
    </w:p>
    <w:p w14:paraId="6121960A">
      <w:pPr>
        <w:tabs>
          <w:tab w:val="left" w:pos="1440"/>
        </w:tabs>
        <w:spacing w:after="81"/>
        <w:ind w:left="720" w:hanging="720"/>
        <w:jc w:val="both"/>
        <w:rPr>
          <w:rFonts w:ascii="Arial" w:hAnsi="Arial" w:cs="Arial"/>
          <w:sz w:val="24"/>
          <w:szCs w:val="24"/>
        </w:rPr>
      </w:pPr>
      <w:r>
        <w:rPr>
          <w:rFonts w:ascii="Arial" w:hAnsi="Arial" w:cs="Arial"/>
          <w:sz w:val="24"/>
          <w:szCs w:val="24"/>
        </w:rPr>
        <w:t xml:space="preserve">Afrina, M., Siska, J., Agusta, O. L., Sasongko, R. N., &amp; Kristiawan, M. (2022). The Policy of Mover School as a Catalyst for Improving the Quality of Education. JPPI (Jurnal Penelitian Pendidikan Indonesia), 8(1), 108. </w:t>
      </w:r>
      <w:r>
        <w:rPr>
          <w:rFonts w:ascii="Arial" w:hAnsi="Arial" w:cs="Arial"/>
          <w:sz w:val="24"/>
          <w:szCs w:val="24"/>
          <w:u w:color="000000"/>
        </w:rPr>
        <w:t>https://d0i.org/10.29210/020221639</w:t>
      </w:r>
    </w:p>
    <w:p w14:paraId="6085DFDD">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Akrim, A. (2022). A New Direction of Islamic Education in Indonesia: Opportunities and Challenges in the Industrial Revolution Era 4.0. Edukasi Islami: Jurnal Pendidikan Islam, 11 (01), 35-48. </w:t>
      </w:r>
      <w:r>
        <w:rPr>
          <w:rFonts w:ascii="Arial" w:hAnsi="Arial" w:cs="Arial"/>
          <w:sz w:val="24"/>
          <w:szCs w:val="24"/>
          <w:u w:color="000000"/>
        </w:rPr>
        <w:t>https://doi.org/10.30868/ei.v11i01.1799</w:t>
      </w:r>
    </w:p>
    <w:p w14:paraId="0AEA0026">
      <w:pPr>
        <w:tabs>
          <w:tab w:val="left" w:pos="1440"/>
        </w:tabs>
        <w:spacing w:after="31"/>
        <w:ind w:left="720" w:right="14" w:hanging="720"/>
        <w:jc w:val="both"/>
        <w:rPr>
          <w:rFonts w:ascii="Arial" w:hAnsi="Arial" w:cs="Arial"/>
          <w:sz w:val="24"/>
          <w:szCs w:val="24"/>
        </w:rPr>
      </w:pPr>
      <w:r>
        <w:rPr>
          <w:rFonts w:ascii="Arial" w:hAnsi="Arial" w:cs="Arial"/>
          <w:sz w:val="24"/>
          <w:szCs w:val="24"/>
        </w:rPr>
        <w:t>Al Qadri, M. H., Suyatno, S., &amp; Sulisworo, D. (2023). The Principal's Role in Improving Teacher</w:t>
      </w:r>
    </w:p>
    <w:p w14:paraId="4E1463A2">
      <w:pPr>
        <w:tabs>
          <w:tab w:val="left" w:pos="1440"/>
        </w:tabs>
        <w:spacing w:after="31"/>
        <w:ind w:left="720" w:right="14" w:hanging="720"/>
        <w:jc w:val="both"/>
        <w:rPr>
          <w:rFonts w:ascii="Arial" w:hAnsi="Arial" w:cs="Arial"/>
          <w:sz w:val="24"/>
          <w:szCs w:val="24"/>
        </w:rPr>
      </w:pPr>
      <w:r>
        <w:rPr>
          <w:rFonts w:ascii="Arial" w:hAnsi="Arial" w:cs="Arial"/>
          <w:sz w:val="24"/>
          <w:szCs w:val="24"/>
        </w:rPr>
        <w:t xml:space="preserve">Competence in Madrasah Aliyah. International Journal of Educational Management and Innovation, 4(3), 156-167. </w:t>
      </w:r>
      <w:r>
        <w:rPr>
          <w:rFonts w:ascii="Arial" w:hAnsi="Arial" w:cs="Arial"/>
          <w:sz w:val="24"/>
          <w:szCs w:val="24"/>
          <w:u w:color="000000"/>
        </w:rPr>
        <w:t>https://doi.org/10.12928/ijemi.v4i3.8016</w:t>
      </w:r>
    </w:p>
    <w:p w14:paraId="7F3F0FAB">
      <w:pPr>
        <w:tabs>
          <w:tab w:val="left" w:pos="1440"/>
        </w:tabs>
        <w:spacing w:after="122"/>
        <w:ind w:left="720" w:right="77" w:hanging="720"/>
        <w:jc w:val="both"/>
        <w:rPr>
          <w:rFonts w:ascii="Arial" w:hAnsi="Arial" w:cs="Arial"/>
          <w:sz w:val="24"/>
          <w:szCs w:val="24"/>
        </w:rPr>
      </w:pPr>
      <w:r>
        <w:rPr>
          <w:rFonts w:ascii="Arial" w:hAnsi="Arial" w:cs="Arial"/>
          <w:sz w:val="24"/>
          <w:szCs w:val="24"/>
        </w:rPr>
        <w:t xml:space="preserve">Alamsyah, F., Nuraeni, Adji, S., &amp; Rusliana, l. (2024). Strategies for Enhancing Teacher Competence and Professionalism at SMK Putra Pelita Tenjolaya.JPG: Jurnal Pendidikan Guru, 5(2), 228-250. </w:t>
      </w:r>
      <w:r>
        <w:rPr>
          <w:rFonts w:ascii="Arial" w:hAnsi="Arial" w:cs="Arial"/>
          <w:sz w:val="24"/>
          <w:szCs w:val="24"/>
          <w:u w:color="000000"/>
        </w:rPr>
        <w:t>https://doi.org/10.32832/jpg.v5i2.16239</w:t>
      </w:r>
    </w:p>
    <w:p w14:paraId="314920D0">
      <w:pPr>
        <w:tabs>
          <w:tab w:val="left" w:pos="1440"/>
        </w:tabs>
        <w:spacing w:after="77"/>
        <w:ind w:left="720" w:right="278" w:hanging="720"/>
        <w:jc w:val="both"/>
        <w:rPr>
          <w:rFonts w:ascii="Arial" w:hAnsi="Arial" w:cs="Arial"/>
          <w:sz w:val="24"/>
          <w:szCs w:val="24"/>
        </w:rPr>
      </w:pPr>
      <w:r>
        <w:rPr>
          <w:rFonts w:ascii="Arial" w:hAnsi="Arial" w:cs="Arial"/>
          <w:sz w:val="24"/>
          <w:szCs w:val="24"/>
        </w:rPr>
        <w:t xml:space="preserve">Anggareni, Muhaemin, &amp; Sulistiani, l. (2025). Prophetic Leadership in Islamic Schools: Transforming Teacher Performance and Student Achievement. UAE: International Journal ofAsian Education, 6(1), 17-28. </w:t>
      </w:r>
      <w:r>
        <w:rPr>
          <w:rFonts w:ascii="Arial" w:hAnsi="Arial" w:cs="Arial"/>
          <w:sz w:val="24"/>
          <w:szCs w:val="24"/>
          <w:u w:color="000000"/>
        </w:rPr>
        <w:t>https://doi.org/10.46966/ijae.v6i1.476</w:t>
      </w:r>
    </w:p>
    <w:p w14:paraId="5D7C919E">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Astrove, S. L., &amp; Kraimer, M. L. (2022). What and How Do Mentors Learn? The Role of Relationship Quality and Mentoring Self-efficacy in Mentor Learning. Personnel Psychology, 75(2), 485-513. </w:t>
      </w:r>
      <w:r>
        <w:rPr>
          <w:rFonts w:ascii="Arial" w:hAnsi="Arial" w:cs="Arial"/>
          <w:sz w:val="24"/>
          <w:szCs w:val="24"/>
          <w:u w:color="000000"/>
        </w:rPr>
        <w:t>httpsd_L_doi20rgLIL1_1_1_1U_p_psA2_7_I4</w:t>
      </w:r>
    </w:p>
    <w:p w14:paraId="0EEB543C">
      <w:pPr>
        <w:tabs>
          <w:tab w:val="left" w:pos="1440"/>
        </w:tabs>
        <w:spacing w:after="31"/>
        <w:ind w:left="720" w:right="14" w:hanging="720"/>
        <w:jc w:val="both"/>
        <w:rPr>
          <w:rFonts w:ascii="Arial" w:hAnsi="Arial" w:cs="Arial"/>
          <w:sz w:val="24"/>
          <w:szCs w:val="24"/>
        </w:rPr>
      </w:pPr>
      <w:r>
        <w:rPr>
          <w:rFonts w:ascii="Arial" w:hAnsi="Arial" w:cs="Arial"/>
          <w:sz w:val="24"/>
          <w:szCs w:val="24"/>
        </w:rPr>
        <w:t>Bowman, M. A., Vongkulluksn, V. W., Jiang, Z., &amp; Xie, K. (2022). Teachers' Exposure to Professional</w:t>
      </w:r>
    </w:p>
    <w:p w14:paraId="750B429B">
      <w:pPr>
        <w:tabs>
          <w:tab w:val="left" w:pos="1440"/>
        </w:tabs>
        <w:spacing w:after="120"/>
        <w:ind w:left="720" w:hanging="720"/>
        <w:jc w:val="both"/>
        <w:rPr>
          <w:rFonts w:ascii="Arial" w:hAnsi="Arial" w:cs="Arial"/>
          <w:sz w:val="24"/>
          <w:szCs w:val="24"/>
        </w:rPr>
      </w:pPr>
      <w:r>
        <w:rPr>
          <w:rFonts w:ascii="Arial" w:hAnsi="Arial" w:cs="Arial"/>
          <w:sz w:val="24"/>
          <w:szCs w:val="24"/>
        </w:rPr>
        <w:t xml:space="preserve">Development and the Quality of Their Instructional Technology Use: The Mediating Role of Teachers' Value and Ability Beliefs. Journal ofResearch on Technology in Education, 54(2), 188 </w:t>
      </w:r>
      <w:r>
        <w:rPr>
          <w:rFonts w:ascii="Arial" w:hAnsi="Arial" w:cs="Arial"/>
          <w:sz w:val="24"/>
          <w:szCs w:val="24"/>
        </w:rPr>
        <w:drawing>
          <wp:inline distT="0" distB="0" distL="0" distR="0">
            <wp:extent cx="53975" cy="17780"/>
            <wp:effectExtent l="0" t="0" r="0" b="0"/>
            <wp:docPr id="1656352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52858"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3975" cy="17780"/>
                    </a:xfrm>
                    <a:prstGeom prst="rect">
                      <a:avLst/>
                    </a:prstGeom>
                    <a:noFill/>
                    <a:ln>
                      <a:noFill/>
                    </a:ln>
                  </pic:spPr>
                </pic:pic>
              </a:graphicData>
            </a:graphic>
          </wp:inline>
        </w:drawing>
      </w:r>
      <w:r>
        <w:rPr>
          <w:rFonts w:ascii="Arial" w:hAnsi="Arial" w:cs="Arial"/>
          <w:sz w:val="24"/>
          <w:szCs w:val="24"/>
        </w:rPr>
        <w:t xml:space="preserve">204. </w:t>
      </w:r>
      <w:r>
        <w:rPr>
          <w:rFonts w:ascii="Arial" w:hAnsi="Arial" w:cs="Arial"/>
          <w:sz w:val="24"/>
          <w:szCs w:val="24"/>
          <w:u w:color="000000"/>
        </w:rPr>
        <w:t>https://d0i.org/10.1080/15391523.2020.1830895</w:t>
      </w:r>
    </w:p>
    <w:p w14:paraId="4C073915">
      <w:pPr>
        <w:tabs>
          <w:tab w:val="left" w:pos="1440"/>
        </w:tabs>
        <w:spacing w:after="91"/>
        <w:ind w:left="720" w:right="509" w:hanging="720"/>
        <w:jc w:val="both"/>
        <w:rPr>
          <w:rFonts w:ascii="Arial" w:hAnsi="Arial" w:cs="Arial"/>
          <w:sz w:val="24"/>
          <w:szCs w:val="24"/>
        </w:rPr>
      </w:pPr>
      <w:r>
        <w:rPr>
          <w:rFonts w:ascii="Arial" w:hAnsi="Arial" w:cs="Arial"/>
          <w:sz w:val="24"/>
          <w:szCs w:val="24"/>
        </w:rPr>
        <w:t xml:space="preserve">Burger, J. (2023). Constructivist and Transmissive Mentoring: Effects on Teacher Self-Efficacy, Emotional Management, and the Role of Novices' Initial Beliefs. Journal of Teacher Education, 75(1), 107-121. </w:t>
      </w:r>
      <w:r>
        <w:rPr>
          <w:rFonts w:ascii="Arial" w:hAnsi="Arial" w:cs="Arial"/>
          <w:sz w:val="24"/>
          <w:szCs w:val="24"/>
          <w:u w:color="000000"/>
        </w:rPr>
        <w:t>https://d0i.org/10.1177/00224871231185371</w:t>
      </w:r>
    </w:p>
    <w:p w14:paraId="4C25AF5F">
      <w:pPr>
        <w:tabs>
          <w:tab w:val="left" w:pos="1440"/>
        </w:tabs>
        <w:spacing w:after="111"/>
        <w:ind w:left="720" w:right="221" w:hanging="720"/>
        <w:jc w:val="both"/>
        <w:rPr>
          <w:rFonts w:ascii="Arial" w:hAnsi="Arial" w:cs="Arial"/>
          <w:sz w:val="24"/>
          <w:szCs w:val="24"/>
        </w:rPr>
      </w:pPr>
      <w:r>
        <w:rPr>
          <w:rFonts w:ascii="Arial" w:hAnsi="Arial" w:cs="Arial"/>
          <w:sz w:val="24"/>
          <w:szCs w:val="24"/>
        </w:rPr>
        <w:t xml:space="preserve">Chuang, S. (2021). The Applications of Constructivist Learning Theory and Social Learning Theory on Adult Continuous Development. Performance Improvement, 60(3), 6—14. </w:t>
      </w:r>
      <w:r>
        <w:rPr>
          <w:rFonts w:ascii="Arial" w:hAnsi="Arial" w:cs="Arial"/>
          <w:sz w:val="24"/>
          <w:szCs w:val="24"/>
          <w:u w:color="000000"/>
        </w:rPr>
        <w:t>https://doi.org/10.1002/pfi.21963</w:t>
      </w:r>
    </w:p>
    <w:p w14:paraId="5CC5BA0F">
      <w:pPr>
        <w:tabs>
          <w:tab w:val="left" w:pos="1440"/>
        </w:tabs>
        <w:spacing w:after="31"/>
        <w:ind w:left="720" w:right="14" w:hanging="720"/>
        <w:jc w:val="both"/>
        <w:rPr>
          <w:rFonts w:ascii="Arial" w:hAnsi="Arial" w:cs="Arial"/>
          <w:sz w:val="24"/>
          <w:szCs w:val="24"/>
        </w:rPr>
      </w:pPr>
      <w:r>
        <w:rPr>
          <w:rFonts w:ascii="Arial" w:hAnsi="Arial" w:cs="Arial"/>
          <w:sz w:val="24"/>
          <w:szCs w:val="24"/>
        </w:rPr>
        <w:t xml:space="preserve">Conan Simpson, J. (2021). Fostering Teacher Leadership in K-12 Schools: A Review of the Literature. Performance Improvement Quarterly, 34(3), 229-246. </w:t>
      </w:r>
      <w:r>
        <w:rPr>
          <w:rFonts w:ascii="Arial" w:hAnsi="Arial" w:cs="Arial"/>
          <w:sz w:val="24"/>
          <w:szCs w:val="24"/>
          <w:u w:color="000000"/>
        </w:rPr>
        <w:t>https://doi.org/10.1002/piq.21374</w:t>
      </w:r>
    </w:p>
    <w:p w14:paraId="287FB687">
      <w:pPr>
        <w:tabs>
          <w:tab w:val="left" w:pos="1440"/>
        </w:tabs>
        <w:spacing w:after="31"/>
        <w:ind w:left="720" w:right="14" w:hanging="720"/>
        <w:jc w:val="both"/>
        <w:rPr>
          <w:rFonts w:ascii="Arial" w:hAnsi="Arial" w:cs="Arial"/>
          <w:sz w:val="24"/>
          <w:szCs w:val="24"/>
        </w:rPr>
      </w:pPr>
      <w:r>
        <w:rPr>
          <w:rFonts w:ascii="Arial" w:hAnsi="Arial" w:cs="Arial"/>
          <w:sz w:val="24"/>
          <w:szCs w:val="24"/>
        </w:rPr>
        <w:t>Crispel, 0., &amp; and Kasperski, R. (2021). The Impact of Teacher Training in Special Education on the Implementation of Inclusion in Mainstream Classrooms. International Journal of Inclusive</w:t>
      </w:r>
    </w:p>
    <w:p w14:paraId="468A3428">
      <w:pPr>
        <w:tabs>
          <w:tab w:val="left" w:pos="1440"/>
        </w:tabs>
        <w:spacing w:after="54"/>
        <w:ind w:left="720" w:hanging="720"/>
        <w:jc w:val="both"/>
        <w:rPr>
          <w:rFonts w:ascii="Arial" w:hAnsi="Arial" w:cs="Arial"/>
          <w:sz w:val="24"/>
          <w:szCs w:val="24"/>
        </w:rPr>
      </w:pPr>
      <w:r>
        <w:rPr>
          <w:rFonts w:ascii="Arial" w:hAnsi="Arial" w:cs="Arial"/>
          <w:sz w:val="24"/>
          <w:szCs w:val="24"/>
        </w:rPr>
        <w:t xml:space="preserve">                      Education, 25(9), 1079-1090.     </w:t>
      </w:r>
      <w:r>
        <w:rPr>
          <w:rFonts w:ascii="Arial" w:hAnsi="Arial" w:cs="Arial"/>
          <w:sz w:val="24"/>
          <w:szCs w:val="24"/>
          <w:u w:color="000000"/>
        </w:rPr>
        <w:t>https://doi.org/10.1080/13603116.2019.1600590</w:t>
      </w:r>
    </w:p>
    <w:p w14:paraId="3EFFB793">
      <w:pPr>
        <w:tabs>
          <w:tab w:val="left" w:pos="1440"/>
        </w:tabs>
        <w:spacing w:after="86"/>
        <w:ind w:left="720" w:right="14" w:hanging="720"/>
        <w:jc w:val="both"/>
        <w:rPr>
          <w:rFonts w:ascii="Arial" w:hAnsi="Arial" w:cs="Arial"/>
          <w:sz w:val="24"/>
          <w:szCs w:val="24"/>
        </w:rPr>
      </w:pPr>
      <w:r>
        <w:rPr>
          <w:rFonts w:ascii="Arial" w:hAnsi="Arial" w:cs="Arial"/>
          <w:sz w:val="24"/>
          <w:szCs w:val="24"/>
        </w:rPr>
        <w:t xml:space="preserve">Darling-Hammond, L. (2020). Accountability in Teacher Education. Action in Teacher Education, 42(1), 60-71. </w:t>
      </w:r>
      <w:r>
        <w:rPr>
          <w:rFonts w:ascii="Arial" w:hAnsi="Arial" w:cs="Arial"/>
          <w:sz w:val="24"/>
          <w:szCs w:val="24"/>
          <w:u w:color="000000"/>
        </w:rPr>
        <w:t>https://d0i.org/10.1080/01626620.2019.1704464</w:t>
      </w:r>
    </w:p>
    <w:p w14:paraId="73326275">
      <w:pPr>
        <w:tabs>
          <w:tab w:val="left" w:pos="1440"/>
        </w:tabs>
        <w:spacing w:after="31"/>
        <w:ind w:left="720" w:right="14" w:hanging="720"/>
        <w:jc w:val="both"/>
        <w:rPr>
          <w:rFonts w:ascii="Arial" w:hAnsi="Arial" w:cs="Arial"/>
          <w:sz w:val="24"/>
          <w:szCs w:val="24"/>
        </w:rPr>
      </w:pPr>
      <w:r>
        <w:rPr>
          <w:rFonts w:ascii="Arial" w:hAnsi="Arial" w:cs="Arial"/>
          <w:sz w:val="24"/>
          <w:szCs w:val="24"/>
        </w:rPr>
        <w:t>Douglas, H. (2022). Sampling Techniques for Qualitative Research. In M. R. Islam, N. A. Khan, &amp; R.</w:t>
      </w:r>
    </w:p>
    <w:p w14:paraId="6EF81D75">
      <w:pPr>
        <w:tabs>
          <w:tab w:val="left" w:pos="1440"/>
        </w:tabs>
        <w:spacing w:after="111"/>
        <w:ind w:left="720" w:right="14" w:hanging="720"/>
        <w:jc w:val="both"/>
        <w:rPr>
          <w:rFonts w:ascii="Arial" w:hAnsi="Arial" w:cs="Arial"/>
          <w:sz w:val="24"/>
          <w:szCs w:val="24"/>
        </w:rPr>
      </w:pPr>
      <w:r>
        <w:rPr>
          <w:rFonts w:ascii="Arial" w:hAnsi="Arial" w:cs="Arial"/>
          <w:sz w:val="24"/>
          <w:szCs w:val="24"/>
        </w:rPr>
        <w:t xml:space="preserve">Baikady (Eds.), Principles ofSocial Research Methodology (pp. 415-426). Springer Nature Singapore. </w:t>
      </w:r>
      <w:r>
        <w:rPr>
          <w:rFonts w:ascii="Arial" w:hAnsi="Arial" w:cs="Arial"/>
          <w:sz w:val="24"/>
          <w:szCs w:val="24"/>
          <w:u w:color="000000"/>
        </w:rPr>
        <w:t>https://doi.org/10.1007/978-981-19-5441-2 29</w:t>
      </w:r>
    </w:p>
    <w:p w14:paraId="3F8F148E">
      <w:pPr>
        <w:tabs>
          <w:tab w:val="left" w:pos="1440"/>
        </w:tabs>
        <w:spacing w:after="31"/>
        <w:ind w:left="720" w:right="14" w:hanging="720"/>
        <w:jc w:val="both"/>
        <w:rPr>
          <w:rFonts w:ascii="Arial" w:hAnsi="Arial" w:cs="Arial"/>
          <w:sz w:val="24"/>
          <w:szCs w:val="24"/>
        </w:rPr>
      </w:pPr>
      <w:r>
        <w:rPr>
          <w:rFonts w:ascii="Arial" w:hAnsi="Arial" w:cs="Arial"/>
          <w:sz w:val="24"/>
          <w:szCs w:val="24"/>
        </w:rPr>
        <w:t>Fenti Farleni, Dewi Nancy Shabatini, Encep Syarifudin, &amp; Cucu Atikah. (2024). Education Policies for Enhancing Professional Competence in Elementary School Teachers. Journal ofEducation</w:t>
      </w:r>
    </w:p>
    <w:p w14:paraId="6F145995">
      <w:pPr>
        <w:tabs>
          <w:tab w:val="left" w:pos="1440"/>
        </w:tabs>
        <w:spacing w:after="112"/>
        <w:ind w:left="720" w:right="14" w:hanging="720"/>
        <w:jc w:val="both"/>
        <w:rPr>
          <w:rFonts w:ascii="Arial" w:hAnsi="Arial" w:cs="Arial"/>
          <w:sz w:val="24"/>
          <w:szCs w:val="24"/>
        </w:rPr>
      </w:pPr>
      <w:r>
        <w:rPr>
          <w:rFonts w:ascii="Arial" w:hAnsi="Arial" w:cs="Arial"/>
          <w:sz w:val="24"/>
          <w:szCs w:val="24"/>
        </w:rPr>
        <w:t xml:space="preserve">Haug, B. S., &amp; Mork, S. M. (2021). Taking 21st Century Skills from Vision to Classroom: What Teachers Highlight as Supportive Professional Development in the Light of New Demands from Educational Reforms. Teaching and Teacher Education, 100(April), 1-12. </w:t>
      </w:r>
      <w:r>
        <w:rPr>
          <w:rFonts w:ascii="Arial" w:hAnsi="Arial" w:cs="Arial"/>
          <w:sz w:val="24"/>
          <w:szCs w:val="24"/>
          <w:u w:color="000000"/>
        </w:rPr>
        <w:t>https://doi.org/10.1016/j.tate.2021.103286</w:t>
      </w:r>
    </w:p>
    <w:p w14:paraId="7ABDACB3">
      <w:pPr>
        <w:tabs>
          <w:tab w:val="left" w:pos="1440"/>
        </w:tabs>
        <w:spacing w:after="31"/>
        <w:ind w:left="720" w:right="14" w:hanging="720"/>
        <w:jc w:val="both"/>
        <w:rPr>
          <w:rFonts w:ascii="Arial" w:hAnsi="Arial" w:cs="Arial"/>
          <w:sz w:val="24"/>
          <w:szCs w:val="24"/>
        </w:rPr>
      </w:pPr>
      <w:r>
        <w:rPr>
          <w:rFonts w:ascii="Arial" w:hAnsi="Arial" w:cs="Arial"/>
          <w:sz w:val="24"/>
          <w:szCs w:val="24"/>
        </w:rPr>
        <w:t>He, P., Guo, F., &amp; Abazie, G. A. (2024). School Principals' Instructional Leadership as a Predictor of Teacher's Professional Development. Asian-Pacific Journal of Second and Foreign Language</w:t>
      </w:r>
    </w:p>
    <w:p w14:paraId="59974DBB">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llham, D., Pirol, A., Iksan, M., Efendi, E., Zainuddin, A. H. A., &amp; Alam, S. (2024). Promoting Learners' Autonomy in Modern Era: A Textbook Analysis Under the Zone of Proximal Development Approach. International Journal ofAsian Education, 5(2), 86-94. </w:t>
      </w:r>
      <w:r>
        <w:rPr>
          <w:rFonts w:ascii="Arial" w:hAnsi="Arial" w:cs="Arial"/>
          <w:sz w:val="24"/>
          <w:szCs w:val="24"/>
          <w:u w:color="000000"/>
        </w:rPr>
        <w:t>https://doi.org/10.46966/ijae.v5i2.370</w:t>
      </w:r>
    </w:p>
    <w:p w14:paraId="1C8DDEC5">
      <w:pPr>
        <w:tabs>
          <w:tab w:val="left" w:pos="1440"/>
        </w:tabs>
        <w:spacing w:after="32"/>
        <w:ind w:left="720" w:right="240" w:hanging="720"/>
        <w:jc w:val="both"/>
        <w:rPr>
          <w:rFonts w:ascii="Arial" w:hAnsi="Arial" w:cs="Arial"/>
          <w:sz w:val="24"/>
          <w:szCs w:val="24"/>
        </w:rPr>
      </w:pPr>
      <w:r>
        <w:rPr>
          <w:rFonts w:ascii="Arial" w:hAnsi="Arial" w:cs="Arial"/>
          <w:sz w:val="24"/>
          <w:szCs w:val="24"/>
        </w:rPr>
        <w:t xml:space="preserve">Kim, D. H., &amp; Ellison, N. B. (2021). From Observation on Social Media to Offline Political Participation: The Social Media Affordances Approach. New Media &amp; Society, 24(12), 2614-2634. </w:t>
      </w:r>
      <w:r>
        <w:rPr>
          <w:rFonts w:ascii="Arial" w:hAnsi="Arial" w:cs="Arial"/>
          <w:sz w:val="24"/>
          <w:szCs w:val="24"/>
          <w:u w:color="000000"/>
        </w:rPr>
        <w:t>https://doi.org/10.1177/1461444821998346</w:t>
      </w:r>
    </w:p>
    <w:p w14:paraId="09A7EB42">
      <w:pPr>
        <w:tabs>
          <w:tab w:val="left" w:pos="1440"/>
        </w:tabs>
        <w:spacing w:after="31"/>
        <w:ind w:left="720" w:right="14" w:hanging="720"/>
        <w:jc w:val="both"/>
        <w:rPr>
          <w:rFonts w:ascii="Arial" w:hAnsi="Arial" w:cs="Arial"/>
          <w:sz w:val="24"/>
          <w:szCs w:val="24"/>
        </w:rPr>
      </w:pPr>
      <w:r>
        <w:rPr>
          <w:rFonts w:ascii="Arial" w:hAnsi="Arial" w:cs="Arial"/>
          <w:sz w:val="24"/>
          <w:szCs w:val="24"/>
        </w:rPr>
        <w:t xml:space="preserve">Knowles, M. S. (1992). Applying Principles of Adult Learning in Conference Presentations. Adult Learning, 4(1), 11-14. </w:t>
      </w:r>
      <w:r>
        <w:rPr>
          <w:rFonts w:ascii="Arial" w:hAnsi="Arial" w:cs="Arial"/>
          <w:sz w:val="24"/>
          <w:szCs w:val="24"/>
          <w:u w:color="000000"/>
        </w:rPr>
        <w:t>https://doi.org/10.1177/104515959200400105</w:t>
      </w:r>
    </w:p>
    <w:p w14:paraId="09F90597">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Koncar, P., Santos, T., Strohmaier, M., &amp; Helic, D. (2022). On the Application of the Two-Factor Theory to Online Employer Reviews. Journal ofData, Information and Management, 4(1), 1-23. </w:t>
      </w:r>
      <w:r>
        <w:rPr>
          <w:rFonts w:ascii="Arial" w:hAnsi="Arial" w:cs="Arial"/>
          <w:sz w:val="24"/>
          <w:szCs w:val="24"/>
          <w:u w:color="000000"/>
        </w:rPr>
        <w:t>https://doi.org/10.1007/s42488-021-00061-3</w:t>
      </w:r>
    </w:p>
    <w:p w14:paraId="315837B1">
      <w:pPr>
        <w:tabs>
          <w:tab w:val="left" w:pos="1440"/>
        </w:tabs>
        <w:spacing w:after="102"/>
        <w:ind w:left="720" w:right="14" w:hanging="720"/>
        <w:jc w:val="both"/>
        <w:rPr>
          <w:rFonts w:ascii="Arial" w:hAnsi="Arial" w:cs="Arial"/>
          <w:sz w:val="24"/>
          <w:szCs w:val="24"/>
        </w:rPr>
      </w:pPr>
      <w:r>
        <w:rPr>
          <w:rFonts w:ascii="Arial" w:hAnsi="Arial" w:cs="Arial"/>
          <w:sz w:val="24"/>
          <w:szCs w:val="24"/>
        </w:rPr>
        <w:t xml:space="preserve">Lee, B., Lee, C., Choi, 1., &amp; Kim, J. (2022). Analyzing Determinants of Job Satisfaction Based on TwoFactor Theory. Sustainability (Switzerland), 14(19), 1-19. </w:t>
      </w:r>
      <w:r>
        <w:rPr>
          <w:rFonts w:ascii="Arial" w:hAnsi="Arial" w:cs="Arial"/>
          <w:sz w:val="24"/>
          <w:szCs w:val="24"/>
          <w:u w:color="000000"/>
        </w:rPr>
        <w:t>https://doi.org/10.3390/su141912557</w:t>
      </w:r>
    </w:p>
    <w:p w14:paraId="205D3FDE">
      <w:pPr>
        <w:tabs>
          <w:tab w:val="left" w:pos="1440"/>
        </w:tabs>
        <w:ind w:left="720" w:right="14" w:hanging="720"/>
        <w:jc w:val="both"/>
        <w:rPr>
          <w:rFonts w:ascii="Arial" w:hAnsi="Arial" w:cs="Arial"/>
          <w:sz w:val="24"/>
          <w:szCs w:val="24"/>
        </w:rPr>
      </w:pPr>
      <w:r>
        <w:rPr>
          <w:rFonts w:ascii="Arial" w:hAnsi="Arial" w:cs="Arial"/>
          <w:sz w:val="24"/>
          <w:szCs w:val="24"/>
        </w:rPr>
        <w:t xml:space="preserve">Madum, M., &amp; Daimah, D. (2024). Character Building Through Islamic Education: Nurturing the Indonesian Nation's Values. LISAN AL-HAL: Jurnal Pengembangan Pemikiran Dan Kebudayaan, 18(1), 59-71. </w:t>
      </w:r>
      <w:r>
        <w:rPr>
          <w:rFonts w:ascii="Arial" w:hAnsi="Arial" w:cs="Arial"/>
          <w:sz w:val="24"/>
          <w:szCs w:val="24"/>
          <w:u w:color="000000"/>
        </w:rPr>
        <w:t>https://doi.org/10.35316/1isana1ha1.v18i1.59-71</w:t>
      </w:r>
    </w:p>
    <w:p w14:paraId="3467F4D3">
      <w:pPr>
        <w:tabs>
          <w:tab w:val="left" w:pos="1440"/>
        </w:tabs>
        <w:spacing w:after="31"/>
        <w:ind w:left="720" w:right="14" w:hanging="720"/>
        <w:jc w:val="both"/>
        <w:rPr>
          <w:rFonts w:ascii="Arial" w:hAnsi="Arial" w:cs="Arial"/>
          <w:sz w:val="24"/>
          <w:szCs w:val="24"/>
        </w:rPr>
      </w:pPr>
      <w:r>
        <w:rPr>
          <w:rFonts w:ascii="Arial" w:hAnsi="Arial" w:cs="Arial"/>
          <w:sz w:val="24"/>
          <w:szCs w:val="24"/>
        </w:rPr>
        <w:t xml:space="preserve">Mappasanda, R., Thaha, H., &amp; Guntur, M. (2025). Holistic Approaches to Religious Education Management in Madrasah Aliyah Negeri. UAE: International Journal ofAsian Education, 6(1), 87 </w:t>
      </w:r>
      <w:r>
        <w:rPr>
          <w:rFonts w:ascii="Arial" w:hAnsi="Arial" w:cs="Arial"/>
          <w:sz w:val="24"/>
          <w:szCs w:val="24"/>
        </w:rPr>
        <w:drawing>
          <wp:inline distT="0" distB="0" distL="0" distR="0">
            <wp:extent cx="71755" cy="17780"/>
            <wp:effectExtent l="0" t="0" r="0" b="0"/>
            <wp:docPr id="1181142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4226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71755" cy="17780"/>
                    </a:xfrm>
                    <a:prstGeom prst="rect">
                      <a:avLst/>
                    </a:prstGeom>
                    <a:noFill/>
                    <a:ln>
                      <a:noFill/>
                    </a:ln>
                  </pic:spPr>
                </pic:pic>
              </a:graphicData>
            </a:graphic>
          </wp:inline>
        </w:drawing>
      </w:r>
      <w:r>
        <w:rPr>
          <w:rFonts w:ascii="Arial" w:hAnsi="Arial" w:cs="Arial"/>
          <w:sz w:val="24"/>
          <w:szCs w:val="24"/>
        </w:rPr>
        <w:t xml:space="preserve">99. </w:t>
      </w:r>
      <w:r>
        <w:rPr>
          <w:rFonts w:ascii="Arial" w:hAnsi="Arial" w:cs="Arial"/>
          <w:sz w:val="24"/>
          <w:szCs w:val="24"/>
          <w:u w:color="000000"/>
        </w:rPr>
        <w:t>https://doi.org/10.46966/ijae.v6i1.465</w:t>
      </w:r>
    </w:p>
    <w:p w14:paraId="13281FF1">
      <w:pPr>
        <w:tabs>
          <w:tab w:val="left" w:pos="1440"/>
        </w:tabs>
        <w:spacing w:after="92"/>
        <w:ind w:left="720" w:right="249" w:hanging="720"/>
        <w:jc w:val="both"/>
        <w:rPr>
          <w:rFonts w:ascii="Arial" w:hAnsi="Arial" w:cs="Arial"/>
          <w:sz w:val="24"/>
          <w:szCs w:val="24"/>
        </w:rPr>
      </w:pPr>
      <w:r>
        <w:rPr>
          <w:rFonts w:ascii="Arial" w:hAnsi="Arial" w:cs="Arial"/>
          <w:sz w:val="24"/>
          <w:szCs w:val="24"/>
        </w:rPr>
        <w:t xml:space="preserve">Martinez, C. (2022). Developing 21st Century Teaching Skills: A Case Study of Teaching and Learning through Project-based Curriculum. Cogent Education, 9(1), 1-16. </w:t>
      </w:r>
      <w:r>
        <w:rPr>
          <w:rFonts w:ascii="Arial" w:hAnsi="Arial" w:cs="Arial"/>
          <w:sz w:val="24"/>
          <w:szCs w:val="24"/>
          <w:u w:color="000000"/>
        </w:rPr>
        <w:t>https://doi.org/10.1080/2331186k2021.2024936</w:t>
      </w:r>
    </w:p>
    <w:p w14:paraId="055E1980">
      <w:pPr>
        <w:tabs>
          <w:tab w:val="left" w:pos="1440"/>
        </w:tabs>
        <w:spacing w:after="113"/>
        <w:ind w:left="720" w:right="998" w:hanging="720"/>
        <w:jc w:val="both"/>
        <w:rPr>
          <w:rFonts w:ascii="Arial" w:hAnsi="Arial" w:cs="Arial"/>
          <w:sz w:val="24"/>
          <w:szCs w:val="24"/>
        </w:rPr>
      </w:pPr>
      <w:r>
        <w:rPr>
          <w:rFonts w:ascii="Arial" w:hAnsi="Arial" w:cs="Arial"/>
          <w:sz w:val="24"/>
          <w:szCs w:val="24"/>
        </w:rPr>
        <w:t xml:space="preserve">Masuwai, A, Zulkifli, H., &amp; Hamzah, M. l. (2024). Self-assessment for Continuous Professional Development: The Perspective of Islamic Education. Heliyon, 10(19), 1-17. </w:t>
      </w:r>
      <w:r>
        <w:rPr>
          <w:rFonts w:ascii="Arial" w:hAnsi="Arial" w:cs="Arial"/>
          <w:sz w:val="24"/>
          <w:szCs w:val="24"/>
          <w:u w:color="000000"/>
        </w:rPr>
        <w:t>https://doi.org/10.1016/j.heliyon.2024.e38268</w:t>
      </w:r>
    </w:p>
    <w:p w14:paraId="0604F8C7">
      <w:pPr>
        <w:tabs>
          <w:tab w:val="left" w:pos="1440"/>
        </w:tabs>
        <w:spacing w:after="120"/>
        <w:ind w:left="720" w:right="374" w:hanging="720"/>
        <w:jc w:val="both"/>
        <w:rPr>
          <w:rFonts w:ascii="Arial" w:hAnsi="Arial" w:cs="Arial"/>
          <w:sz w:val="24"/>
          <w:szCs w:val="24"/>
        </w:rPr>
      </w:pPr>
      <w:r>
        <w:rPr>
          <w:rFonts w:ascii="Arial" w:hAnsi="Arial" w:cs="Arial"/>
          <w:sz w:val="24"/>
          <w:szCs w:val="24"/>
        </w:rPr>
        <w:t xml:space="preserve">Muis, A., Hosaini, Eriyanto, &amp; Agus Readi. (2019). Role of the Islamic Education teacher in the Moral Improvement of Learners. Jurnal At-Tarbiyat: Jurnal Pendidikan Islam, 5(3), 411-422. </w:t>
      </w:r>
      <w:r>
        <w:rPr>
          <w:rFonts w:ascii="Arial" w:hAnsi="Arial" w:cs="Arial"/>
          <w:sz w:val="24"/>
          <w:szCs w:val="24"/>
          <w:u w:color="000000"/>
        </w:rPr>
        <w:t>https://doi.org/10.37758/jat.v5i3.487</w:t>
      </w:r>
    </w:p>
    <w:p w14:paraId="07C8A364">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Mujahid, l. (2021). Islamic Orthodoxy-Based Character Education: Creating Moderate Muslim in a Modern Pesantren in Indonesia. Indonesian Journal ofIslam and Muslim Societies, 11 (2), 185-212. </w:t>
      </w:r>
      <w:r>
        <w:rPr>
          <w:rFonts w:ascii="Arial" w:hAnsi="Arial" w:cs="Arial"/>
          <w:sz w:val="24"/>
          <w:szCs w:val="24"/>
          <w:u w:color="000000"/>
        </w:rPr>
        <w:t>https://doi.org/10.18326/ijims.v11i2.185-212</w:t>
      </w:r>
    </w:p>
    <w:p w14:paraId="3730F68A">
      <w:pPr>
        <w:tabs>
          <w:tab w:val="left" w:pos="1440"/>
        </w:tabs>
        <w:spacing w:after="31"/>
        <w:ind w:left="720" w:right="14" w:hanging="720"/>
        <w:jc w:val="both"/>
        <w:rPr>
          <w:rFonts w:ascii="Arial" w:hAnsi="Arial" w:cs="Arial"/>
          <w:sz w:val="24"/>
          <w:szCs w:val="24"/>
        </w:rPr>
      </w:pPr>
      <w:r>
        <w:rPr>
          <w:rFonts w:ascii="Arial" w:hAnsi="Arial" w:cs="Arial"/>
          <w:sz w:val="24"/>
          <w:szCs w:val="24"/>
        </w:rPr>
        <w:t xml:space="preserve">Nassaji, H. (2015). Qualitative and descriptive research: Data type versus data analysis. Language Teaching Research, 19(2), 129-132. </w:t>
      </w:r>
      <w:r>
        <w:rPr>
          <w:rFonts w:ascii="Arial" w:hAnsi="Arial" w:cs="Arial"/>
          <w:sz w:val="24"/>
          <w:szCs w:val="24"/>
          <w:u w:color="000000"/>
        </w:rPr>
        <w:t>https:L/doi.org/10.1177/1362168815572 747</w:t>
      </w:r>
    </w:p>
    <w:p w14:paraId="6C6EE359">
      <w:pPr>
        <w:tabs>
          <w:tab w:val="left" w:pos="1440"/>
        </w:tabs>
        <w:spacing w:after="128"/>
        <w:ind w:left="720" w:right="125" w:hanging="720"/>
        <w:jc w:val="both"/>
        <w:rPr>
          <w:rFonts w:ascii="Arial" w:hAnsi="Arial" w:cs="Arial"/>
          <w:sz w:val="24"/>
          <w:szCs w:val="24"/>
        </w:rPr>
      </w:pPr>
      <w:r>
        <w:rPr>
          <w:rFonts w:ascii="Arial" w:hAnsi="Arial" w:cs="Arial"/>
          <w:sz w:val="24"/>
          <w:szCs w:val="24"/>
        </w:rPr>
        <w:t xml:space="preserve">Nor, A., Yusuf, M., &amp; Arabi, l. (2024). Strategies for Improving the Professionalism of Islamic Education Teachers at University. Tafkir: InterdisciplinaryJournal ofIslamic Education, 5(1), 40-61. </w:t>
      </w:r>
      <w:r>
        <w:rPr>
          <w:rFonts w:ascii="Arial" w:hAnsi="Arial" w:cs="Arial"/>
          <w:sz w:val="24"/>
          <w:szCs w:val="24"/>
          <w:u w:color="000000"/>
        </w:rPr>
        <w:t>https://doj.org/10.31 538/tijie.v5i 1 .774</w:t>
      </w:r>
    </w:p>
    <w:p w14:paraId="7514B7A7">
      <w:pPr>
        <w:tabs>
          <w:tab w:val="left" w:pos="1440"/>
        </w:tabs>
        <w:spacing w:after="31"/>
        <w:ind w:left="720" w:right="14" w:hanging="720"/>
        <w:jc w:val="both"/>
        <w:rPr>
          <w:rFonts w:ascii="Arial" w:hAnsi="Arial" w:cs="Arial"/>
          <w:sz w:val="24"/>
          <w:szCs w:val="24"/>
        </w:rPr>
      </w:pPr>
      <w:r>
        <w:rPr>
          <w:rFonts w:ascii="Arial" w:hAnsi="Arial" w:cs="Arial"/>
          <w:sz w:val="24"/>
          <w:szCs w:val="24"/>
        </w:rPr>
        <w:t>Oppi, P., Eisenschmidt, E., &amp; Stingu, M. (2023). Seeking Sustainable Ways for School Development: Teachers' and Principals' Views Regarding Teacher Leadership. International Journal of</w:t>
      </w:r>
    </w:p>
    <w:p w14:paraId="36D67848">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Preechawong, S., Anusit, A, Pichet, P., Ravinder, K., &amp; Easter, M. A. (2024). Relationship between Mentoring and Coaching Experience, Teaching Self-Efficacy and Job Satisfaction of Vocational School Teachers in Thailand. Educational Studies, 50(5), 722-742. </w:t>
      </w:r>
      <w:r>
        <w:rPr>
          <w:rFonts w:ascii="Arial" w:hAnsi="Arial" w:cs="Arial"/>
          <w:sz w:val="24"/>
          <w:szCs w:val="24"/>
          <w:u w:color="000000"/>
        </w:rPr>
        <w:t>https://doi.org/10.1080/03055698.2021.1994374</w:t>
      </w:r>
    </w:p>
    <w:p w14:paraId="5CD12A50">
      <w:pPr>
        <w:tabs>
          <w:tab w:val="left" w:pos="1440"/>
        </w:tabs>
        <w:spacing w:after="117"/>
        <w:ind w:left="720" w:right="297" w:hanging="720"/>
        <w:jc w:val="both"/>
        <w:rPr>
          <w:rFonts w:ascii="Arial" w:hAnsi="Arial" w:cs="Arial"/>
          <w:sz w:val="24"/>
          <w:szCs w:val="24"/>
        </w:rPr>
      </w:pPr>
      <w:r>
        <w:rPr>
          <w:rFonts w:ascii="Arial" w:hAnsi="Arial" w:cs="Arial"/>
          <w:sz w:val="24"/>
          <w:szCs w:val="24"/>
        </w:rPr>
        <w:t xml:space="preserve">Priya, A. (2020). Case Study Methodology of Qualitative Research: Key Attributes and Navigating the Conundrums in Its Application. Sociological Bulletin, 70(1), 94-110. </w:t>
      </w:r>
      <w:r>
        <w:rPr>
          <w:rFonts w:ascii="Arial" w:hAnsi="Arial" w:cs="Arial"/>
          <w:sz w:val="24"/>
          <w:szCs w:val="24"/>
          <w:u w:color="000000"/>
        </w:rPr>
        <w:t>https://doi.org/10.1177/0038022920970318</w:t>
      </w:r>
    </w:p>
    <w:p w14:paraId="5F5115D4">
      <w:pPr>
        <w:tabs>
          <w:tab w:val="left" w:pos="1440"/>
        </w:tabs>
        <w:spacing w:after="32"/>
        <w:ind w:left="720" w:hanging="720"/>
        <w:jc w:val="both"/>
        <w:rPr>
          <w:rFonts w:ascii="Arial" w:hAnsi="Arial" w:cs="Arial"/>
          <w:sz w:val="24"/>
          <w:szCs w:val="24"/>
        </w:rPr>
      </w:pPr>
      <w:r>
        <w:rPr>
          <w:rFonts w:ascii="Arial" w:hAnsi="Arial" w:cs="Arial"/>
          <w:sz w:val="24"/>
          <w:szCs w:val="24"/>
        </w:rPr>
        <w:t xml:space="preserve">Qureshi, M. A., Asadullah, K., Jawaid Ahmed, Q., Syed Ali, R., &amp; Yousufi, S. Q. (2023). Factors Affecting Students' Learning Performance through Collaborative Learning and Engagement. Interactive Learning Environments, 31 (4), 2371—2391. </w:t>
      </w:r>
      <w:r>
        <w:rPr>
          <w:rFonts w:ascii="Arial" w:hAnsi="Arial" w:cs="Arial"/>
          <w:sz w:val="24"/>
          <w:szCs w:val="24"/>
          <w:u w:color="000000"/>
        </w:rPr>
        <w:t>https://doi.org/10.1080/10494820.2021.1884886</w:t>
      </w:r>
    </w:p>
    <w:p w14:paraId="44BF4CE4">
      <w:pPr>
        <w:tabs>
          <w:tab w:val="left" w:pos="1440"/>
        </w:tabs>
        <w:spacing w:after="31"/>
        <w:ind w:left="720" w:right="14" w:hanging="720"/>
        <w:jc w:val="both"/>
        <w:rPr>
          <w:rFonts w:ascii="Arial" w:hAnsi="Arial" w:cs="Arial"/>
          <w:sz w:val="24"/>
          <w:szCs w:val="24"/>
        </w:rPr>
      </w:pPr>
      <w:r>
        <w:rPr>
          <w:rFonts w:ascii="Arial" w:hAnsi="Arial" w:cs="Arial"/>
          <w:sz w:val="24"/>
          <w:szCs w:val="24"/>
        </w:rPr>
        <w:t>Sancar, R., Atal, D., &amp; Deryakulu, D. (2021). A New Framework for Teachers' Professional Development.</w:t>
      </w:r>
    </w:p>
    <w:p w14:paraId="79F5AFB9">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Siahaan, A., Aswaruddin, A., Maulidayan, M., Zaki, A., Sari, N., &amp; Rahman, A. A (2023). Principal Leadership Ethics as A Role Model in High School. AL-ISHLAH: Jurnal Pendidikan, 15(3), 2834 </w:t>
      </w:r>
      <w:r>
        <w:rPr>
          <w:rFonts w:ascii="Arial" w:hAnsi="Arial" w:cs="Arial"/>
          <w:sz w:val="24"/>
          <w:szCs w:val="24"/>
        </w:rPr>
        <w:drawing>
          <wp:inline distT="0" distB="0" distL="0" distR="0">
            <wp:extent cx="53975" cy="17780"/>
            <wp:effectExtent l="0" t="0" r="0" b="0"/>
            <wp:docPr id="1033532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3290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3975" cy="17780"/>
                    </a:xfrm>
                    <a:prstGeom prst="rect">
                      <a:avLst/>
                    </a:prstGeom>
                    <a:noFill/>
                    <a:ln>
                      <a:noFill/>
                    </a:ln>
                  </pic:spPr>
                </pic:pic>
              </a:graphicData>
            </a:graphic>
          </wp:inline>
        </w:drawing>
      </w:r>
      <w:r>
        <w:rPr>
          <w:rFonts w:ascii="Arial" w:hAnsi="Arial" w:cs="Arial"/>
          <w:sz w:val="24"/>
          <w:szCs w:val="24"/>
        </w:rPr>
        <w:t xml:space="preserve">2845. </w:t>
      </w:r>
      <w:r>
        <w:rPr>
          <w:rFonts w:ascii="Arial" w:hAnsi="Arial" w:cs="Arial"/>
          <w:sz w:val="24"/>
          <w:szCs w:val="24"/>
          <w:u w:color="000000"/>
        </w:rPr>
        <w:t>https://doi.org/10.3 5445/alishlah.v15i3.1563</w:t>
      </w:r>
    </w:p>
    <w:p w14:paraId="616357CC">
      <w:pPr>
        <w:tabs>
          <w:tab w:val="left" w:pos="1440"/>
        </w:tabs>
        <w:spacing w:after="124"/>
        <w:ind w:left="720" w:right="10" w:hanging="720"/>
        <w:jc w:val="both"/>
        <w:rPr>
          <w:rFonts w:ascii="Arial" w:hAnsi="Arial" w:cs="Arial"/>
          <w:sz w:val="24"/>
          <w:szCs w:val="24"/>
        </w:rPr>
      </w:pPr>
      <w:r>
        <w:rPr>
          <w:rFonts w:ascii="Arial" w:hAnsi="Arial" w:cs="Arial"/>
          <w:sz w:val="24"/>
          <w:szCs w:val="24"/>
        </w:rPr>
        <w:t xml:space="preserve">Syarif, A., Baderiah, &amp; Taqwa. (2024). Enhancing Students' Character Development through a PointBased Violation System. IJAE: International Journal ofAsian Education, 5(4), 363-373. </w:t>
      </w:r>
      <w:r>
        <w:rPr>
          <w:rFonts w:ascii="Arial" w:hAnsi="Arial" w:cs="Arial"/>
          <w:sz w:val="24"/>
          <w:szCs w:val="24"/>
          <w:u w:color="000000"/>
        </w:rPr>
        <w:t>https://doi.org/10.46966/ijae.v5i4.464</w:t>
      </w:r>
    </w:p>
    <w:p w14:paraId="3B2C163C">
      <w:pPr>
        <w:tabs>
          <w:tab w:val="left" w:pos="1440"/>
        </w:tabs>
        <w:spacing w:after="32"/>
        <w:ind w:left="720" w:hanging="720"/>
        <w:jc w:val="both"/>
        <w:rPr>
          <w:rFonts w:ascii="Arial" w:hAnsi="Arial" w:cs="Arial"/>
          <w:sz w:val="24"/>
          <w:szCs w:val="24"/>
        </w:rPr>
      </w:pPr>
      <w:r>
        <w:rPr>
          <w:rFonts w:ascii="Arial" w:hAnsi="Arial" w:cs="Arial"/>
          <w:sz w:val="24"/>
          <w:szCs w:val="24"/>
        </w:rPr>
        <w:t xml:space="preserve">Tzuriel, D. (2021). The Socio-Cultural Theory of Vygotsky. In D. Tzuriel (Ed.), Mediated Learning and Cognitive Modifiability (pp. 53-66). Springer International Publishing. </w:t>
      </w:r>
      <w:r>
        <w:rPr>
          <w:rFonts w:ascii="Arial" w:hAnsi="Arial" w:cs="Arial"/>
          <w:sz w:val="24"/>
          <w:szCs w:val="24"/>
          <w:u w:color="000000"/>
        </w:rPr>
        <w:t>https://doi.org/10.1007/978-3-030-75692-5 3</w:t>
      </w:r>
    </w:p>
    <w:p w14:paraId="255DCF92">
      <w:pPr>
        <w:tabs>
          <w:tab w:val="left" w:pos="1440"/>
        </w:tabs>
        <w:ind w:left="720" w:right="14" w:hanging="720"/>
        <w:jc w:val="both"/>
        <w:rPr>
          <w:rFonts w:ascii="Arial" w:hAnsi="Arial" w:cs="Arial"/>
          <w:sz w:val="24"/>
          <w:szCs w:val="24"/>
        </w:rPr>
      </w:pPr>
      <w:r>
        <w:rPr>
          <w:rFonts w:ascii="Arial" w:hAnsi="Arial" w:cs="Arial"/>
          <w:sz w:val="24"/>
          <w:szCs w:val="24"/>
        </w:rPr>
        <w:t xml:space="preserve">Wang, T., Motevalli, S., &amp; Lin, J. (2024). Unveiling the Transformative Influence: Qualitative Insights into Teachers' Innovative Work Behavior in Chinese Higher Education. International Journal of Learning, Teaching and Educational Research, 23(1), 360—373. </w:t>
      </w:r>
      <w:r>
        <w:rPr>
          <w:rFonts w:ascii="Arial" w:hAnsi="Arial" w:cs="Arial"/>
          <w:sz w:val="24"/>
          <w:szCs w:val="24"/>
          <w:u w:color="000000"/>
        </w:rPr>
        <w:t>https://doi.org/10.26803/ijlter.23.1.18</w:t>
      </w:r>
    </w:p>
    <w:p w14:paraId="1AF0CA5D">
      <w:pPr>
        <w:tabs>
          <w:tab w:val="left" w:pos="1440"/>
        </w:tabs>
        <w:ind w:left="720" w:right="14" w:hanging="720"/>
        <w:jc w:val="both"/>
        <w:rPr>
          <w:rFonts w:ascii="Arial" w:hAnsi="Arial" w:cs="Arial"/>
          <w:sz w:val="24"/>
          <w:szCs w:val="24"/>
        </w:rPr>
      </w:pPr>
      <w:r>
        <w:rPr>
          <w:rFonts w:ascii="Arial" w:hAnsi="Arial" w:cs="Arial"/>
          <w:sz w:val="24"/>
          <w:szCs w:val="24"/>
        </w:rPr>
        <w:t xml:space="preserve">William Sterrett. (2022). The Principal as Catalyst for Innovation and Shared Leadership. In The Power of Teacher Leaders: Their Roles, Influence, and Impact (2nd ed., p. 15). Routledge. </w:t>
      </w:r>
      <w:r>
        <w:rPr>
          <w:rFonts w:ascii="Arial" w:hAnsi="Arial" w:cs="Arial"/>
          <w:sz w:val="24"/>
          <w:szCs w:val="24"/>
          <w:u w:color="000000"/>
        </w:rPr>
        <w:t>https://doi.org/10.4324/9781003123972</w:t>
      </w:r>
    </w:p>
    <w:p w14:paraId="22901FB6">
      <w:pPr>
        <w:tabs>
          <w:tab w:val="left" w:pos="1440"/>
        </w:tabs>
        <w:ind w:left="720" w:hanging="720"/>
        <w:jc w:val="both"/>
        <w:rPr>
          <w:rFonts w:ascii="Arial" w:hAnsi="Arial" w:cs="Arial"/>
          <w:sz w:val="24"/>
          <w:szCs w:val="24"/>
        </w:rPr>
      </w:pPr>
      <w:r>
        <w:rPr>
          <w:rFonts w:ascii="Arial" w:hAnsi="Arial" w:cs="Arial"/>
          <w:sz w:val="24"/>
          <w:szCs w:val="24"/>
        </w:rPr>
        <w:t>Braun, V., &amp; Clarke, V. (2006). Using thematic analysis in psychology. </w:t>
      </w:r>
      <w:r>
        <w:rPr>
          <w:rFonts w:ascii="Arial" w:hAnsi="Arial" w:cs="Arial"/>
          <w:i/>
          <w:iCs/>
          <w:sz w:val="24"/>
          <w:szCs w:val="24"/>
        </w:rPr>
        <w:t>Qualitative Research in Psychology, 3</w:t>
      </w:r>
      <w:r>
        <w:rPr>
          <w:rFonts w:ascii="Arial" w:hAnsi="Arial" w:cs="Arial"/>
          <w:sz w:val="24"/>
          <w:szCs w:val="24"/>
        </w:rPr>
        <w:t>(2), 77–101. </w:t>
      </w:r>
      <w:r>
        <w:fldChar w:fldCharType="begin"/>
      </w:r>
      <w:r>
        <w:instrText xml:space="preserve"> HYPERLINK "https://doi.org/10.1191/1478088706qp063oa" \t "_blank" </w:instrText>
      </w:r>
      <w:r>
        <w:fldChar w:fldCharType="separate"/>
      </w:r>
      <w:r>
        <w:rPr>
          <w:rStyle w:val="12"/>
          <w:rFonts w:ascii="Arial" w:hAnsi="Arial" w:cs="Arial" w:eastAsiaTheme="minorHAnsi"/>
          <w:color w:val="000000"/>
        </w:rPr>
        <w:t>https://doi.org/10.1191/1478088706qp063oa</w:t>
      </w:r>
      <w:r>
        <w:rPr>
          <w:rStyle w:val="12"/>
          <w:rFonts w:ascii="Arial" w:hAnsi="Arial" w:cs="Arial" w:eastAsiaTheme="minorHAnsi"/>
          <w:color w:val="000000"/>
        </w:rPr>
        <w:fldChar w:fldCharType="end"/>
      </w:r>
    </w:p>
    <w:p w14:paraId="0E1D5F5D">
      <w:pPr>
        <w:tabs>
          <w:tab w:val="left" w:pos="1440"/>
        </w:tabs>
        <w:ind w:left="720" w:hanging="720"/>
        <w:jc w:val="both"/>
        <w:rPr>
          <w:rFonts w:ascii="Arial" w:hAnsi="Arial" w:cs="Arial"/>
          <w:sz w:val="24"/>
          <w:szCs w:val="24"/>
        </w:rPr>
      </w:pPr>
      <w:r>
        <w:rPr>
          <w:rFonts w:ascii="Arial" w:hAnsi="Arial" w:cs="Arial"/>
          <w:sz w:val="24"/>
          <w:szCs w:val="24"/>
        </w:rPr>
        <w:t>Darling-Hammond, L., Hyler, M. E., &amp; Gardner, M. (2017). </w:t>
      </w:r>
      <w:r>
        <w:rPr>
          <w:rFonts w:ascii="Arial" w:hAnsi="Arial" w:cs="Arial"/>
          <w:i/>
          <w:iCs/>
          <w:sz w:val="24"/>
          <w:szCs w:val="24"/>
        </w:rPr>
        <w:t>Effective teacher professional development</w:t>
      </w:r>
      <w:r>
        <w:rPr>
          <w:rFonts w:ascii="Arial" w:hAnsi="Arial" w:cs="Arial"/>
          <w:sz w:val="24"/>
          <w:szCs w:val="24"/>
        </w:rPr>
        <w:t>. Learning Policy Institute.</w:t>
      </w:r>
    </w:p>
    <w:p w14:paraId="17E028E3">
      <w:pPr>
        <w:tabs>
          <w:tab w:val="left" w:pos="1440"/>
        </w:tabs>
        <w:ind w:left="720" w:hanging="720"/>
        <w:jc w:val="both"/>
        <w:rPr>
          <w:rFonts w:ascii="Arial" w:hAnsi="Arial" w:cs="Arial"/>
          <w:sz w:val="24"/>
          <w:szCs w:val="24"/>
        </w:rPr>
      </w:pPr>
      <w:r>
        <w:rPr>
          <w:rFonts w:ascii="Arial" w:hAnsi="Arial" w:cs="Arial"/>
          <w:sz w:val="24"/>
          <w:szCs w:val="24"/>
        </w:rPr>
        <w:t>Gay, G. (2018). </w:t>
      </w:r>
      <w:r>
        <w:rPr>
          <w:rFonts w:ascii="Arial" w:hAnsi="Arial" w:cs="Arial"/>
          <w:i/>
          <w:iCs/>
          <w:sz w:val="24"/>
          <w:szCs w:val="24"/>
        </w:rPr>
        <w:t>Culturally responsive teaching: Theory, research, and practice</w:t>
      </w:r>
      <w:r>
        <w:rPr>
          <w:rFonts w:ascii="Arial" w:hAnsi="Arial" w:cs="Arial"/>
          <w:sz w:val="24"/>
          <w:szCs w:val="24"/>
        </w:rPr>
        <w:t> (3rd ed.). Teachers College Press.</w:t>
      </w:r>
    </w:p>
    <w:p w14:paraId="0D8D457D">
      <w:pPr>
        <w:tabs>
          <w:tab w:val="left" w:pos="1440"/>
        </w:tabs>
        <w:ind w:left="720" w:hanging="720"/>
        <w:jc w:val="both"/>
        <w:rPr>
          <w:rFonts w:ascii="Arial" w:hAnsi="Arial" w:cs="Arial"/>
          <w:sz w:val="24"/>
          <w:szCs w:val="24"/>
        </w:rPr>
      </w:pPr>
      <w:r>
        <w:rPr>
          <w:rFonts w:ascii="Arial" w:hAnsi="Arial" w:cs="Arial"/>
          <w:sz w:val="24"/>
          <w:szCs w:val="24"/>
        </w:rPr>
        <w:t>Hallinger, P. (2011). Leadership for learning: Lessons from 40 years of empirical research. </w:t>
      </w:r>
      <w:r>
        <w:rPr>
          <w:rFonts w:ascii="Arial" w:hAnsi="Arial" w:cs="Arial"/>
          <w:i/>
          <w:iCs/>
          <w:sz w:val="24"/>
          <w:szCs w:val="24"/>
        </w:rPr>
        <w:t>Journal of Educational Administration, 49</w:t>
      </w:r>
      <w:r>
        <w:rPr>
          <w:rFonts w:ascii="Arial" w:hAnsi="Arial" w:cs="Arial"/>
          <w:sz w:val="24"/>
          <w:szCs w:val="24"/>
        </w:rPr>
        <w:t>(2), 125–142. </w:t>
      </w:r>
      <w:r>
        <w:fldChar w:fldCharType="begin"/>
      </w:r>
      <w:r>
        <w:instrText xml:space="preserve"> HYPERLINK "https://doi.org/10.1108/09578231111116699" \t "_blank" </w:instrText>
      </w:r>
      <w:r>
        <w:fldChar w:fldCharType="separate"/>
      </w:r>
      <w:r>
        <w:rPr>
          <w:rStyle w:val="12"/>
          <w:rFonts w:ascii="Arial" w:hAnsi="Arial" w:cs="Arial" w:eastAsiaTheme="minorHAnsi"/>
          <w:color w:val="000000"/>
        </w:rPr>
        <w:t>https://doi.org/10.1108/09578231111116699</w:t>
      </w:r>
      <w:r>
        <w:rPr>
          <w:rStyle w:val="12"/>
          <w:rFonts w:ascii="Arial" w:hAnsi="Arial" w:cs="Arial" w:eastAsiaTheme="minorHAnsi"/>
          <w:color w:val="000000"/>
        </w:rPr>
        <w:fldChar w:fldCharType="end"/>
      </w:r>
    </w:p>
    <w:p w14:paraId="7FAF88A6">
      <w:pPr>
        <w:tabs>
          <w:tab w:val="left" w:pos="1440"/>
        </w:tabs>
        <w:ind w:left="720" w:hanging="720"/>
        <w:jc w:val="both"/>
        <w:rPr>
          <w:rFonts w:ascii="Arial" w:hAnsi="Arial" w:cs="Arial"/>
          <w:sz w:val="24"/>
          <w:szCs w:val="24"/>
        </w:rPr>
      </w:pPr>
      <w:r>
        <w:rPr>
          <w:rFonts w:ascii="Arial" w:hAnsi="Arial" w:cs="Arial"/>
          <w:sz w:val="24"/>
          <w:szCs w:val="24"/>
        </w:rPr>
        <w:t>UNESCO. (2015). </w:t>
      </w:r>
      <w:r>
        <w:rPr>
          <w:rFonts w:ascii="Arial" w:hAnsi="Arial" w:cs="Arial"/>
          <w:i/>
          <w:iCs/>
          <w:sz w:val="24"/>
          <w:szCs w:val="24"/>
        </w:rPr>
        <w:t>Education for all 2000–2015: Achievements and challenges</w:t>
      </w:r>
      <w:r>
        <w:rPr>
          <w:rFonts w:ascii="Arial" w:hAnsi="Arial" w:cs="Arial"/>
          <w:sz w:val="24"/>
          <w:szCs w:val="24"/>
        </w:rPr>
        <w:t>. UNESCO Publishing.</w:t>
      </w:r>
    </w:p>
    <w:p w14:paraId="0C1A4A02">
      <w:pPr>
        <w:tabs>
          <w:tab w:val="left" w:pos="1440"/>
        </w:tabs>
        <w:ind w:left="720" w:hanging="720"/>
        <w:jc w:val="both"/>
        <w:rPr>
          <w:rFonts w:ascii="Arial" w:hAnsi="Arial" w:cs="Arial"/>
          <w:sz w:val="24"/>
          <w:szCs w:val="24"/>
        </w:rPr>
      </w:pPr>
      <w:r>
        <w:rPr>
          <w:rFonts w:ascii="Arial" w:hAnsi="Arial" w:cs="Arial"/>
          <w:sz w:val="24"/>
          <w:szCs w:val="24"/>
        </w:rPr>
        <w:t xml:space="preserve">Mirza, U. J. (2024). </w:t>
      </w:r>
      <w:r>
        <w:rPr>
          <w:rFonts w:ascii="Arial" w:hAnsi="Arial" w:cs="Arial"/>
          <w:i/>
          <w:iCs/>
          <w:sz w:val="24"/>
          <w:szCs w:val="24"/>
        </w:rPr>
        <w:t>Islamic Scientific Critical Consciousness as a theoretical framework for Muslim science educators</w:t>
      </w:r>
      <w:r>
        <w:rPr>
          <w:rFonts w:ascii="Arial" w:hAnsi="Arial" w:cs="Arial"/>
          <w:sz w:val="24"/>
          <w:szCs w:val="24"/>
        </w:rPr>
        <w:t>. London Review of Education, 22(1), Article 9.</w:t>
      </w:r>
    </w:p>
    <w:p w14:paraId="6795F262">
      <w:pPr>
        <w:tabs>
          <w:tab w:val="left" w:pos="1440"/>
        </w:tabs>
        <w:ind w:left="720" w:hanging="720"/>
        <w:jc w:val="both"/>
        <w:rPr>
          <w:rFonts w:ascii="Arial" w:hAnsi="Arial" w:cs="Arial"/>
          <w:sz w:val="24"/>
          <w:szCs w:val="24"/>
        </w:rPr>
      </w:pPr>
      <w:bookmarkStart w:id="18" w:name="_Hlk219569288"/>
      <w:r>
        <w:rPr>
          <w:rFonts w:ascii="Arial" w:hAnsi="Arial" w:cs="Arial"/>
          <w:sz w:val="24"/>
          <w:szCs w:val="24"/>
        </w:rPr>
        <w:t>Cox, B., Barron, L. G., Davis, W., &amp; de la Garza, B. (2017).</w:t>
      </w:r>
      <w:bookmarkEnd w:id="18"/>
      <w:r>
        <w:rPr>
          <w:rFonts w:ascii="Arial" w:hAnsi="Arial" w:cs="Arial"/>
          <w:sz w:val="24"/>
          <w:szCs w:val="24"/>
        </w:rPr>
        <w:t xml:space="preserve"> </w:t>
      </w:r>
      <w:r>
        <w:rPr>
          <w:rFonts w:ascii="Arial" w:hAnsi="Arial" w:cs="Arial"/>
          <w:i/>
          <w:iCs/>
          <w:sz w:val="24"/>
          <w:szCs w:val="24"/>
        </w:rPr>
        <w:t>Using situational judgment tests (SJTs) in training: Development and evaluation of a structured, low</w:t>
      </w:r>
      <w:r>
        <w:rPr>
          <w:rFonts w:ascii="Arial" w:hAnsi="Arial" w:cs="Arial"/>
          <w:i/>
          <w:iCs/>
          <w:sz w:val="24"/>
          <w:szCs w:val="24"/>
        </w:rPr>
        <w:noBreakHyphen/>
      </w:r>
      <w:r>
        <w:rPr>
          <w:rFonts w:ascii="Arial" w:hAnsi="Arial" w:cs="Arial"/>
          <w:i/>
          <w:iCs/>
          <w:sz w:val="24"/>
          <w:szCs w:val="24"/>
        </w:rPr>
        <w:t>fidelity scenario</w:t>
      </w:r>
      <w:r>
        <w:rPr>
          <w:rFonts w:ascii="Arial" w:hAnsi="Arial" w:cs="Arial"/>
          <w:i/>
          <w:iCs/>
          <w:sz w:val="24"/>
          <w:szCs w:val="24"/>
        </w:rPr>
        <w:noBreakHyphen/>
      </w:r>
      <w:r>
        <w:rPr>
          <w:rFonts w:ascii="Arial" w:hAnsi="Arial" w:cs="Arial"/>
          <w:i/>
          <w:iCs/>
          <w:sz w:val="24"/>
          <w:szCs w:val="24"/>
        </w:rPr>
        <w:t>based training method</w:t>
      </w:r>
      <w:r>
        <w:rPr>
          <w:rFonts w:ascii="Arial" w:hAnsi="Arial" w:cs="Arial"/>
          <w:sz w:val="24"/>
          <w:szCs w:val="24"/>
        </w:rPr>
        <w:t xml:space="preserve">. Personnel Review, </w:t>
      </w:r>
      <w:r>
        <w:rPr>
          <w:rFonts w:ascii="Arial" w:hAnsi="Arial" w:cs="Arial"/>
          <w:i/>
          <w:iCs/>
          <w:sz w:val="24"/>
          <w:szCs w:val="24"/>
        </w:rPr>
        <w:t>46</w:t>
      </w:r>
      <w:r>
        <w:rPr>
          <w:rFonts w:ascii="Arial" w:hAnsi="Arial" w:cs="Arial"/>
          <w:sz w:val="24"/>
          <w:szCs w:val="24"/>
        </w:rPr>
        <w:t>(1), 36–45.</w:t>
      </w:r>
    </w:p>
    <w:p w14:paraId="7E809AA0">
      <w:pPr>
        <w:tabs>
          <w:tab w:val="left" w:pos="1440"/>
        </w:tabs>
        <w:ind w:left="720" w:hanging="720"/>
        <w:jc w:val="both"/>
      </w:pPr>
      <w:r>
        <w:rPr>
          <w:rFonts w:ascii="Arial" w:hAnsi="Arial" w:cs="Arial"/>
          <w:sz w:val="24"/>
          <w:szCs w:val="24"/>
        </w:rPr>
        <w:t>Sancar, M., et al. (2024). A journey towards teacher empowerment in differentiated instruction: implications for a sustainable teacher professional development model. Asia Pacific Education Review.</w:t>
      </w:r>
      <w:r>
        <w:t xml:space="preserve"> </w:t>
      </w:r>
    </w:p>
    <w:p w14:paraId="26B8E416">
      <w:pPr>
        <w:tabs>
          <w:tab w:val="left" w:pos="1440"/>
        </w:tabs>
        <w:ind w:left="720" w:hanging="720"/>
        <w:jc w:val="both"/>
        <w:rPr>
          <w:rFonts w:ascii="Arial" w:hAnsi="Arial" w:cs="Arial"/>
          <w:sz w:val="24"/>
          <w:szCs w:val="24"/>
        </w:rPr>
      </w:pPr>
      <w:r>
        <w:rPr>
          <w:rFonts w:ascii="Arial" w:hAnsi="Arial" w:cs="Arial"/>
          <w:sz w:val="24"/>
          <w:szCs w:val="24"/>
        </w:rPr>
        <w:t xml:space="preserve">Mashar, A., Purnama Sari, D., &amp; Fadilah, N. (2024). </w:t>
      </w:r>
      <w:r>
        <w:rPr>
          <w:rFonts w:ascii="Arial" w:hAnsi="Arial" w:cs="Arial"/>
          <w:i/>
          <w:iCs/>
          <w:sz w:val="24"/>
          <w:szCs w:val="24"/>
        </w:rPr>
        <w:t>Transformational leadership of school principals through prophetic values</w:t>
      </w:r>
      <w:r>
        <w:rPr>
          <w:rFonts w:ascii="Arial" w:hAnsi="Arial" w:cs="Arial"/>
          <w:sz w:val="24"/>
          <w:szCs w:val="24"/>
        </w:rPr>
        <w:t>.</w:t>
      </w:r>
    </w:p>
    <w:p w14:paraId="1E12F27E">
      <w:pPr>
        <w:tabs>
          <w:tab w:val="left" w:pos="1440"/>
        </w:tabs>
        <w:ind w:left="720" w:hanging="720"/>
        <w:jc w:val="both"/>
        <w:rPr>
          <w:rFonts w:ascii="Arial" w:hAnsi="Arial" w:cs="Arial"/>
          <w:sz w:val="24"/>
          <w:szCs w:val="24"/>
        </w:rPr>
      </w:pPr>
      <w:r>
        <w:rPr>
          <w:rFonts w:ascii="Arial" w:hAnsi="Arial" w:cs="Arial"/>
          <w:sz w:val="24"/>
          <w:szCs w:val="24"/>
        </w:rPr>
        <w:t xml:space="preserve">Bush, T. (2020). </w:t>
      </w:r>
      <w:r>
        <w:rPr>
          <w:rFonts w:ascii="Arial" w:hAnsi="Arial" w:cs="Arial"/>
          <w:i/>
          <w:iCs/>
          <w:sz w:val="24"/>
          <w:szCs w:val="24"/>
        </w:rPr>
        <w:t>Improving leadership in faith-based schools</w:t>
      </w:r>
      <w:r>
        <w:rPr>
          <w:rFonts w:ascii="Arial" w:hAnsi="Arial" w:cs="Arial"/>
          <w:sz w:val="24"/>
          <w:szCs w:val="24"/>
        </w:rPr>
        <w:t>. Educational Management Administration &amp; Leadership, 48(4), 603–620.</w:t>
      </w:r>
    </w:p>
    <w:p w14:paraId="57ED7EB9">
      <w:pPr>
        <w:tabs>
          <w:tab w:val="left" w:pos="1440"/>
        </w:tabs>
        <w:ind w:left="720" w:hanging="720"/>
        <w:jc w:val="both"/>
        <w:rPr>
          <w:rFonts w:ascii="Arial" w:hAnsi="Arial" w:cs="Arial"/>
          <w:sz w:val="24"/>
          <w:szCs w:val="24"/>
        </w:rPr>
      </w:pPr>
      <w:r>
        <w:rPr>
          <w:rFonts w:ascii="Arial" w:hAnsi="Arial" w:cs="Arial"/>
          <w:sz w:val="24"/>
          <w:szCs w:val="24"/>
        </w:rPr>
        <w:t xml:space="preserve">Day, C. (2013). </w:t>
      </w:r>
      <w:r>
        <w:rPr>
          <w:rFonts w:ascii="Arial" w:hAnsi="Arial" w:cs="Arial"/>
          <w:i/>
          <w:iCs/>
          <w:sz w:val="24"/>
          <w:szCs w:val="24"/>
        </w:rPr>
        <w:t>The new lives of teachers</w:t>
      </w:r>
      <w:r>
        <w:rPr>
          <w:rFonts w:ascii="Arial" w:hAnsi="Arial" w:cs="Arial"/>
          <w:sz w:val="24"/>
          <w:szCs w:val="24"/>
        </w:rPr>
        <w:t>. London: Routledge.</w:t>
      </w:r>
    </w:p>
    <w:p w14:paraId="4D236CD4">
      <w:pPr>
        <w:tabs>
          <w:tab w:val="left" w:pos="1440"/>
        </w:tabs>
        <w:ind w:left="720" w:hanging="720"/>
        <w:jc w:val="both"/>
        <w:rPr>
          <w:rFonts w:ascii="Arial" w:hAnsi="Arial" w:cs="Arial"/>
          <w:sz w:val="24"/>
          <w:szCs w:val="24"/>
        </w:rPr>
      </w:pPr>
      <w:r>
        <w:rPr>
          <w:rFonts w:ascii="Arial" w:hAnsi="Arial" w:cs="Arial"/>
          <w:sz w:val="24"/>
          <w:szCs w:val="24"/>
        </w:rPr>
        <w:t xml:space="preserve">Day, C., &amp; Sammons, P. (2016). </w:t>
      </w:r>
      <w:r>
        <w:rPr>
          <w:rFonts w:ascii="Arial" w:hAnsi="Arial" w:cs="Arial"/>
          <w:i/>
          <w:iCs/>
          <w:sz w:val="24"/>
          <w:szCs w:val="24"/>
        </w:rPr>
        <w:t>Successful school leadership</w:t>
      </w:r>
      <w:r>
        <w:rPr>
          <w:rFonts w:ascii="Arial" w:hAnsi="Arial" w:cs="Arial"/>
          <w:sz w:val="24"/>
          <w:szCs w:val="24"/>
        </w:rPr>
        <w:t>. Reading: Education Development Trust.</w:t>
      </w:r>
    </w:p>
    <w:p w14:paraId="6312D0E3">
      <w:pPr>
        <w:tabs>
          <w:tab w:val="left" w:pos="1440"/>
        </w:tabs>
        <w:ind w:left="720" w:hanging="720"/>
        <w:jc w:val="both"/>
        <w:rPr>
          <w:rFonts w:ascii="Arial" w:hAnsi="Arial" w:cs="Arial"/>
          <w:sz w:val="24"/>
          <w:szCs w:val="24"/>
        </w:rPr>
      </w:pPr>
      <w:r>
        <w:rPr>
          <w:rFonts w:ascii="Arial" w:hAnsi="Arial" w:cs="Arial"/>
          <w:sz w:val="24"/>
          <w:szCs w:val="24"/>
        </w:rPr>
        <w:t xml:space="preserve">Hargreaves, A., &amp; Fullan, M. (2012). </w:t>
      </w:r>
      <w:r>
        <w:rPr>
          <w:rFonts w:ascii="Arial" w:hAnsi="Arial" w:cs="Arial"/>
          <w:i/>
          <w:iCs/>
          <w:sz w:val="24"/>
          <w:szCs w:val="24"/>
        </w:rPr>
        <w:t>Professional capital: Transforming teaching in every school</w:t>
      </w:r>
      <w:r>
        <w:rPr>
          <w:rFonts w:ascii="Arial" w:hAnsi="Arial" w:cs="Arial"/>
          <w:sz w:val="24"/>
          <w:szCs w:val="24"/>
        </w:rPr>
        <w:t>. New York: Teachers College Press.</w:t>
      </w:r>
    </w:p>
    <w:p w14:paraId="63E4866E">
      <w:pPr>
        <w:tabs>
          <w:tab w:val="left" w:pos="1440"/>
        </w:tabs>
        <w:ind w:left="720" w:hanging="720"/>
        <w:jc w:val="both"/>
      </w:pPr>
      <w:r>
        <w:rPr>
          <w:rFonts w:ascii="Arial" w:hAnsi="Arial" w:cs="Arial"/>
          <w:sz w:val="24"/>
          <w:szCs w:val="24"/>
        </w:rPr>
        <w:t xml:space="preserve">Avalos, B. (2011). Teacher professional development in Teaching and Teacher Education over ten years. </w:t>
      </w:r>
      <w:r>
        <w:rPr>
          <w:rFonts w:ascii="Arial" w:hAnsi="Arial" w:cs="Arial"/>
          <w:i/>
          <w:iCs/>
          <w:sz w:val="24"/>
          <w:szCs w:val="24"/>
        </w:rPr>
        <w:t>Teaching and Teacher Education, 27</w:t>
      </w:r>
      <w:r>
        <w:rPr>
          <w:rFonts w:ascii="Arial" w:hAnsi="Arial" w:cs="Arial"/>
          <w:sz w:val="24"/>
          <w:szCs w:val="24"/>
        </w:rPr>
        <w:t xml:space="preserve">(1), 10–20. </w:t>
      </w:r>
      <w:r>
        <w:fldChar w:fldCharType="begin"/>
      </w:r>
      <w:r>
        <w:instrText xml:space="preserve"> HYPERLINK "https://doi.org/10.1016/j.tate.2010.08.007" </w:instrText>
      </w:r>
      <w:r>
        <w:fldChar w:fldCharType="separate"/>
      </w:r>
      <w:r>
        <w:rPr>
          <w:rStyle w:val="12"/>
          <w:rFonts w:ascii="Arial" w:hAnsi="Arial" w:cs="Arial" w:eastAsiaTheme="minorHAnsi"/>
          <w:color w:val="000000"/>
        </w:rPr>
        <w:t>https://doi.org/10.1016/j.tate.2010.08.007</w:t>
      </w:r>
      <w:r>
        <w:rPr>
          <w:rStyle w:val="12"/>
          <w:rFonts w:ascii="Arial" w:hAnsi="Arial" w:cs="Arial" w:eastAsiaTheme="minorHAnsi"/>
          <w:color w:val="000000"/>
        </w:rPr>
        <w:fldChar w:fldCharType="end"/>
      </w:r>
    </w:p>
    <w:p w14:paraId="51060E5D">
      <w:pPr>
        <w:tabs>
          <w:tab w:val="left" w:pos="1440"/>
        </w:tabs>
        <w:ind w:left="720" w:hanging="720"/>
        <w:jc w:val="both"/>
        <w:rPr>
          <w:rFonts w:ascii="Arial" w:hAnsi="Arial" w:cs="Arial"/>
          <w:color w:val="000000"/>
          <w:sz w:val="24"/>
          <w:szCs w:val="24"/>
        </w:rPr>
      </w:pPr>
      <w:r>
        <w:rPr>
          <w:rFonts w:ascii="Arial" w:hAnsi="Arial" w:cs="Arial"/>
          <w:color w:val="000000"/>
          <w:sz w:val="24"/>
          <w:szCs w:val="24"/>
        </w:rPr>
        <w:t xml:space="preserve">Hargreaves, A., &amp; O’Connor, M. T. (2018). </w:t>
      </w:r>
      <w:r>
        <w:rPr>
          <w:rFonts w:ascii="Arial" w:hAnsi="Arial" w:cs="Arial"/>
          <w:i/>
          <w:iCs/>
          <w:color w:val="000000"/>
          <w:sz w:val="24"/>
          <w:szCs w:val="24"/>
        </w:rPr>
        <w:t>Collaborative professionalism</w:t>
      </w:r>
      <w:r>
        <w:rPr>
          <w:rFonts w:ascii="Arial" w:hAnsi="Arial" w:cs="Arial"/>
          <w:color w:val="000000"/>
          <w:sz w:val="24"/>
          <w:szCs w:val="24"/>
        </w:rPr>
        <w:t>. Corwin.</w:t>
      </w:r>
    </w:p>
    <w:p w14:paraId="7061EEE8">
      <w:pPr>
        <w:tabs>
          <w:tab w:val="left" w:pos="1440"/>
        </w:tabs>
        <w:ind w:left="720" w:hanging="720"/>
        <w:jc w:val="both"/>
        <w:rPr>
          <w:rFonts w:ascii="Arial" w:hAnsi="Arial" w:cs="Arial"/>
          <w:color w:val="000000"/>
          <w:sz w:val="24"/>
          <w:szCs w:val="24"/>
        </w:rPr>
      </w:pPr>
      <w:r>
        <w:rPr>
          <w:rFonts w:ascii="Arial" w:hAnsi="Arial" w:cs="Arial"/>
          <w:color w:val="000000"/>
          <w:sz w:val="24"/>
          <w:szCs w:val="24"/>
        </w:rPr>
        <w:t xml:space="preserve">Ingersoll, R., Merrill, L., &amp; May, H. (2014). What are the effects of teacher education and preparation on beginning teacher attrition? </w:t>
      </w:r>
      <w:r>
        <w:rPr>
          <w:rFonts w:ascii="Arial" w:hAnsi="Arial" w:cs="Arial"/>
          <w:i/>
          <w:iCs/>
          <w:color w:val="000000"/>
          <w:sz w:val="24"/>
          <w:szCs w:val="24"/>
        </w:rPr>
        <w:t>Educational Evaluation and Policy Analysis, 36</w:t>
      </w:r>
      <w:r>
        <w:rPr>
          <w:rFonts w:ascii="Arial" w:hAnsi="Arial" w:cs="Arial"/>
          <w:color w:val="000000"/>
          <w:sz w:val="24"/>
          <w:szCs w:val="24"/>
        </w:rPr>
        <w:t>(2), 176–196.</w:t>
      </w:r>
    </w:p>
    <w:p w14:paraId="78173469">
      <w:pPr>
        <w:tabs>
          <w:tab w:val="left" w:pos="1440"/>
        </w:tabs>
        <w:ind w:left="720" w:hanging="720"/>
        <w:jc w:val="both"/>
        <w:rPr>
          <w:rFonts w:ascii="Arial" w:hAnsi="Arial" w:cs="Arial"/>
          <w:color w:val="000000"/>
          <w:sz w:val="24"/>
          <w:szCs w:val="24"/>
        </w:rPr>
      </w:pPr>
      <w:r>
        <w:rPr>
          <w:rFonts w:ascii="Arial" w:hAnsi="Arial" w:cs="Arial"/>
          <w:color w:val="000000"/>
          <w:sz w:val="24"/>
          <w:szCs w:val="24"/>
        </w:rPr>
        <w:t xml:space="preserve">Khalifa, M., Gooden, M. A., &amp; Davis, J. E. (2016). Culturally responsive school leadership. </w:t>
      </w:r>
      <w:r>
        <w:rPr>
          <w:rFonts w:ascii="Arial" w:hAnsi="Arial" w:cs="Arial"/>
          <w:i/>
          <w:iCs/>
          <w:color w:val="000000"/>
          <w:sz w:val="24"/>
          <w:szCs w:val="24"/>
        </w:rPr>
        <w:t>Review of Educational Research, 86</w:t>
      </w:r>
      <w:r>
        <w:rPr>
          <w:rFonts w:ascii="Arial" w:hAnsi="Arial" w:cs="Arial"/>
          <w:color w:val="000000"/>
          <w:sz w:val="24"/>
          <w:szCs w:val="24"/>
        </w:rPr>
        <w:t>(4), 1272–1311</w:t>
      </w:r>
    </w:p>
    <w:p w14:paraId="2D42A358">
      <w:pPr>
        <w:tabs>
          <w:tab w:val="left" w:pos="1440"/>
        </w:tabs>
        <w:ind w:left="720" w:hanging="720"/>
        <w:jc w:val="both"/>
        <w:rPr>
          <w:rFonts w:ascii="Arial" w:hAnsi="Arial" w:cs="Arial"/>
          <w:sz w:val="24"/>
          <w:szCs w:val="24"/>
        </w:rPr>
      </w:pPr>
      <w:r>
        <w:rPr>
          <w:rFonts w:ascii="Arial" w:hAnsi="Arial" w:cs="Arial"/>
          <w:sz w:val="24"/>
          <w:szCs w:val="24"/>
        </w:rPr>
        <w:t xml:space="preserve">Desimone, L. M. (2009). Improving impact studies of teachers’ professional development: Toward better conceptualizations and measures. </w:t>
      </w:r>
      <w:r>
        <w:rPr>
          <w:rFonts w:ascii="Arial" w:hAnsi="Arial" w:cs="Arial"/>
          <w:i/>
          <w:iCs/>
          <w:sz w:val="24"/>
          <w:szCs w:val="24"/>
        </w:rPr>
        <w:t>Educational Researcher, 38</w:t>
      </w:r>
      <w:r>
        <w:rPr>
          <w:rFonts w:ascii="Arial" w:hAnsi="Arial" w:cs="Arial"/>
          <w:sz w:val="24"/>
          <w:szCs w:val="24"/>
        </w:rPr>
        <w:t>(3), 181–199.</w:t>
      </w:r>
    </w:p>
    <w:p w14:paraId="38138CE8">
      <w:pPr>
        <w:tabs>
          <w:tab w:val="left" w:pos="1440"/>
        </w:tabs>
        <w:ind w:left="720" w:hanging="720"/>
        <w:jc w:val="both"/>
        <w:rPr>
          <w:rFonts w:ascii="Arial" w:hAnsi="Arial" w:cs="Arial"/>
          <w:sz w:val="24"/>
          <w:szCs w:val="24"/>
        </w:rPr>
      </w:pPr>
      <w:r>
        <w:rPr>
          <w:rFonts w:ascii="Arial" w:hAnsi="Arial" w:cs="Arial"/>
          <w:sz w:val="24"/>
          <w:szCs w:val="24"/>
        </w:rPr>
        <w:t xml:space="preserve">Guskey, T. R. (2002). Professional development and teacher change. </w:t>
      </w:r>
      <w:r>
        <w:rPr>
          <w:rFonts w:ascii="Arial" w:hAnsi="Arial" w:cs="Arial"/>
          <w:i/>
          <w:iCs/>
          <w:sz w:val="24"/>
          <w:szCs w:val="24"/>
        </w:rPr>
        <w:t>Teachers and Teaching, 8</w:t>
      </w:r>
      <w:r>
        <w:rPr>
          <w:rFonts w:ascii="Arial" w:hAnsi="Arial" w:cs="Arial"/>
          <w:sz w:val="24"/>
          <w:szCs w:val="24"/>
        </w:rPr>
        <w:t>(3), 381–391.</w:t>
      </w:r>
    </w:p>
    <w:sectPr>
      <w:pgSz w:w="12240" w:h="15840"/>
      <w:pgMar w:top="1440" w:right="1440" w:bottom="1440" w:left="1440" w:header="0" w:footer="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BFD00DE3-0CD1-4424-9D4C-C8948FCECBA6}"/>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B0E1D2C6-AEB9-4C49-A3B2-19E32EDD2DB0}"/>
  </w:font>
  <w:font w:name="Wingdings">
    <w:panose1 w:val="05000000000000000000"/>
    <w:charset w:val="02"/>
    <w:family w:val="auto"/>
    <w:pitch w:val="default"/>
    <w:sig w:usb0="00000000" w:usb1="00000000" w:usb2="00000000" w:usb3="00000000" w:csb0="80000000" w:csb1="00000000"/>
    <w:embedRegular r:id="rId3" w:fontKey="{FC732A97-6E41-4ED5-BBD8-7BCE12CBC1FB}"/>
  </w:font>
  <w:font w:name="Calibri">
    <w:panose1 w:val="020F0502020204030204"/>
    <w:charset w:val="00"/>
    <w:family w:val="swiss"/>
    <w:pitch w:val="default"/>
    <w:sig w:usb0="E4002EFF" w:usb1="C000247B" w:usb2="00000009" w:usb3="00000000" w:csb0="200001FF" w:csb1="00000000"/>
    <w:embedRegular r:id="rId4" w:fontKey="{D945836D-5AA6-41BC-A75A-9D1A23EEA42D}"/>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5" w:fontKey="{92058029-FE34-4D84-BE0D-6CC281173256}"/>
  </w:font>
  <w:font w:name="Arial Unicode MS">
    <w:altName w:val="Arial"/>
    <w:panose1 w:val="020B0604020202020204"/>
    <w:charset w:val="00"/>
    <w:family w:val="roman"/>
    <w:pitch w:val="default"/>
    <w:sig w:usb0="00000000" w:usb1="00000000" w:usb2="00000000" w:usb3="00000000" w:csb0="00000001" w:csb1="00000000"/>
  </w:font>
  <w:font w:name="Georgia">
    <w:panose1 w:val="02040502050405020303"/>
    <w:charset w:val="00"/>
    <w:family w:val="auto"/>
    <w:pitch w:val="default"/>
    <w:sig w:usb0="00000287" w:usb1="00000000" w:usb2="00000000" w:usb3="00000000" w:csb0="2000009F" w:csb1="00000000"/>
    <w:embedRegular r:id="rId6" w:fontKey="{2B10F251-CAD5-484D-8DE5-8D39EF18512F}"/>
  </w:font>
  <w:font w:name="Century Gothic">
    <w:panose1 w:val="020B0502020202020204"/>
    <w:charset w:val="00"/>
    <w:family w:val="swiss"/>
    <w:pitch w:val="default"/>
    <w:sig w:usb0="00000287" w:usb1="00000000" w:usb2="00000000" w:usb3="00000000" w:csb0="2000009F" w:csb1="DFD70000"/>
    <w:embedRegular r:id="rId7" w:fontKey="{10B9D80B-2423-417C-B8BE-20C320507AC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47"/>
    <w:rsid w:val="00041AF7"/>
    <w:rsid w:val="003A617F"/>
    <w:rsid w:val="005A1D0C"/>
    <w:rsid w:val="0060188F"/>
    <w:rsid w:val="00665347"/>
    <w:rsid w:val="00846069"/>
    <w:rsid w:val="00A96910"/>
    <w:rsid w:val="00B90B6F"/>
    <w:rsid w:val="00E46C24"/>
    <w:rsid w:val="12CF30E1"/>
    <w:rsid w:val="19F409F4"/>
    <w:rsid w:val="1E824C3D"/>
    <w:rsid w:val="2A51331C"/>
    <w:rsid w:val="2C6C4683"/>
    <w:rsid w:val="2F63200B"/>
    <w:rsid w:val="364E72A7"/>
    <w:rsid w:val="3F337E9D"/>
    <w:rsid w:val="425270EF"/>
    <w:rsid w:val="44DE2553"/>
    <w:rsid w:val="44EA38EA"/>
    <w:rsid w:val="47AC56BE"/>
    <w:rsid w:val="4CFD0FA3"/>
    <w:rsid w:val="60DE3E56"/>
    <w:rsid w:val="61D72450"/>
    <w:rsid w:val="6A442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2"/>
      <w:szCs w:val="22"/>
      <w:lang w:val="en-PH" w:eastAsia="en-US" w:bidi="ar-SA"/>
    </w:rPr>
  </w:style>
  <w:style w:type="paragraph" w:styleId="2">
    <w:name w:val="heading 1"/>
    <w:basedOn w:val="1"/>
    <w:next w:val="1"/>
    <w:qFormat/>
    <w:uiPriority w:val="9"/>
    <w:pPr>
      <w:keepNext/>
      <w:keepLines/>
      <w:spacing w:before="480" w:line="276" w:lineRule="auto"/>
      <w:ind w:left="432" w:hanging="432"/>
      <w:outlineLvl w:val="0"/>
    </w:pPr>
    <w:rPr>
      <w:rFonts w:ascii="Cambria" w:hAnsi="Cambria" w:eastAsia="Cambria" w:cs="Cambria"/>
      <w:b/>
      <w:bCs/>
      <w:color w:val="365F91"/>
      <w:sz w:val="28"/>
      <w:szCs w:val="28"/>
    </w:rPr>
  </w:style>
  <w:style w:type="paragraph" w:styleId="3">
    <w:name w:val="heading 2"/>
    <w:basedOn w:val="1"/>
    <w:next w:val="1"/>
    <w:semiHidden/>
    <w:unhideWhenUsed/>
    <w:qFormat/>
    <w:uiPriority w:val="9"/>
    <w:pPr>
      <w:keepNext/>
      <w:keepLines/>
      <w:spacing w:before="360" w:after="80"/>
      <w:outlineLvl w:val="1"/>
    </w:pPr>
    <w:rPr>
      <w:b/>
      <w:bCs/>
      <w:sz w:val="36"/>
      <w:szCs w:val="36"/>
    </w:rPr>
  </w:style>
  <w:style w:type="paragraph" w:styleId="4">
    <w:name w:val="heading 3"/>
    <w:basedOn w:val="1"/>
    <w:next w:val="1"/>
    <w:semiHidden/>
    <w:unhideWhenUsed/>
    <w:qFormat/>
    <w:uiPriority w:val="9"/>
    <w:pPr>
      <w:keepNext/>
      <w:keepLines/>
      <w:spacing w:before="280" w:after="80"/>
      <w:outlineLvl w:val="2"/>
    </w:pPr>
    <w:rPr>
      <w:b/>
      <w:bCs/>
      <w:sz w:val="28"/>
      <w:szCs w:val="28"/>
    </w:rPr>
  </w:style>
  <w:style w:type="paragraph" w:styleId="5">
    <w:name w:val="heading 4"/>
    <w:basedOn w:val="1"/>
    <w:next w:val="1"/>
    <w:semiHidden/>
    <w:unhideWhenUsed/>
    <w:qFormat/>
    <w:uiPriority w:val="9"/>
    <w:pPr>
      <w:keepNext/>
      <w:keepLines/>
      <w:spacing w:before="240" w:after="40"/>
      <w:outlineLvl w:val="3"/>
    </w:pPr>
    <w:rPr>
      <w:b/>
      <w:bCs/>
      <w:sz w:val="24"/>
      <w:szCs w:val="24"/>
    </w:rPr>
  </w:style>
  <w:style w:type="paragraph" w:styleId="6">
    <w:name w:val="heading 5"/>
    <w:basedOn w:val="1"/>
    <w:next w:val="1"/>
    <w:semiHidden/>
    <w:unhideWhenUsed/>
    <w:qFormat/>
    <w:uiPriority w:val="9"/>
    <w:pPr>
      <w:keepNext/>
      <w:keepLines/>
      <w:spacing w:before="220" w:after="40"/>
      <w:outlineLvl w:val="4"/>
    </w:pPr>
    <w:rPr>
      <w:b/>
      <w:bCs/>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25"/>
    <w:qFormat/>
    <w:uiPriority w:val="0"/>
    <w:pPr>
      <w:spacing w:before="180" w:after="180"/>
    </w:pPr>
    <w:rPr>
      <w:rFonts w:asciiTheme="minorHAnsi" w:hAnsiTheme="minorHAnsi" w:eastAsiaTheme="minorHAnsi" w:cstheme="minorBidi"/>
      <w:sz w:val="24"/>
      <w:szCs w:val="24"/>
      <w:lang w:val="en-US"/>
    </w:rPr>
  </w:style>
  <w:style w:type="character" w:styleId="11">
    <w:name w:val="Emphasis"/>
    <w:qFormat/>
    <w:uiPriority w:val="20"/>
    <w:rPr>
      <w:i/>
      <w:iCs/>
    </w:rPr>
  </w:style>
  <w:style w:type="character" w:styleId="12">
    <w:name w:val="Hyperlink"/>
    <w:qFormat/>
    <w:uiPriority w:val="99"/>
    <w:rPr>
      <w:rFonts w:cs="Times New Roman"/>
      <w:color w:val="0000FF"/>
      <w:u w:val="single"/>
    </w:rPr>
  </w:style>
  <w:style w:type="paragraph" w:styleId="13">
    <w:name w:val="Normal (Web)"/>
    <w:basedOn w:val="1"/>
    <w:qFormat/>
    <w:uiPriority w:val="99"/>
    <w:pPr>
      <w:suppressAutoHyphens/>
      <w:spacing w:before="280" w:after="280"/>
    </w:pPr>
    <w:rPr>
      <w:rFonts w:ascii="Arial Unicode MS" w:hAnsi="Arial Unicode MS" w:eastAsia="Arial Unicode MS" w:cs="Arial Unicode MS"/>
      <w:sz w:val="24"/>
      <w:szCs w:val="24"/>
      <w:lang w:val="en-US" w:eastAsia="ar-SA"/>
    </w:rPr>
  </w:style>
  <w:style w:type="paragraph" w:styleId="14">
    <w:name w:val="Subtitle"/>
    <w:basedOn w:val="1"/>
    <w:next w:val="1"/>
    <w:qFormat/>
    <w:uiPriority w:val="11"/>
    <w:pPr>
      <w:keepNext/>
      <w:keepLines/>
      <w:spacing w:before="360" w:after="80"/>
    </w:pPr>
    <w:rPr>
      <w:rFonts w:ascii="Georgia" w:hAnsi="Georgia" w:eastAsia="Georgia" w:cs="Georgia"/>
      <w:i/>
      <w:iCs/>
      <w:color w:val="666666"/>
      <w:sz w:val="48"/>
      <w:szCs w:val="48"/>
    </w:rPr>
  </w:style>
  <w:style w:type="paragraph" w:styleId="15">
    <w:name w:val="Title"/>
    <w:basedOn w:val="1"/>
    <w:next w:val="1"/>
    <w:qFormat/>
    <w:uiPriority w:val="10"/>
    <w:pPr>
      <w:keepNext/>
      <w:keepLines/>
      <w:spacing w:before="480" w:after="120"/>
    </w:pPr>
    <w:rPr>
      <w:b/>
      <w:bCs/>
      <w:sz w:val="72"/>
      <w:szCs w:val="72"/>
    </w:rPr>
  </w:style>
  <w:style w:type="table" w:customStyle="1" w:styleId="16">
    <w:name w:val="TableNormal"/>
    <w:qFormat/>
    <w:uiPriority w:val="0"/>
    <w:tblPr>
      <w:tblCellMar>
        <w:top w:w="100" w:type="dxa"/>
        <w:left w:w="100" w:type="dxa"/>
        <w:bottom w:w="100" w:type="dxa"/>
        <w:right w:w="100" w:type="dxa"/>
      </w:tblCellMar>
    </w:tblPr>
  </w:style>
  <w:style w:type="table" w:customStyle="1" w:styleId="17">
    <w:name w:val="_Style 12"/>
    <w:basedOn w:val="16"/>
    <w:qFormat/>
    <w:uiPriority w:val="0"/>
    <w:tblPr>
      <w:tblCellMar>
        <w:top w:w="0" w:type="dxa"/>
        <w:left w:w="115" w:type="dxa"/>
        <w:bottom w:w="0" w:type="dxa"/>
        <w:right w:w="115" w:type="dxa"/>
      </w:tblCellMar>
    </w:tblPr>
  </w:style>
  <w:style w:type="table" w:customStyle="1" w:styleId="18">
    <w:name w:val="_Style 13"/>
    <w:basedOn w:val="16"/>
    <w:qFormat/>
    <w:uiPriority w:val="0"/>
    <w:tblPr>
      <w:tblCellMar>
        <w:top w:w="0" w:type="dxa"/>
        <w:left w:w="115" w:type="dxa"/>
        <w:bottom w:w="0" w:type="dxa"/>
        <w:right w:w="115" w:type="dxa"/>
      </w:tblCellMar>
    </w:tblPr>
  </w:style>
  <w:style w:type="table" w:customStyle="1" w:styleId="19">
    <w:name w:val="_Style 14"/>
    <w:basedOn w:val="16"/>
    <w:qFormat/>
    <w:uiPriority w:val="0"/>
    <w:tblPr>
      <w:tblCellMar>
        <w:top w:w="0" w:type="dxa"/>
        <w:left w:w="115" w:type="dxa"/>
        <w:bottom w:w="0" w:type="dxa"/>
        <w:right w:w="115" w:type="dxa"/>
      </w:tblCellMar>
    </w:tblPr>
  </w:style>
  <w:style w:type="table" w:customStyle="1" w:styleId="20">
    <w:name w:val="_Style 15"/>
    <w:basedOn w:val="16"/>
    <w:qFormat/>
    <w:uiPriority w:val="0"/>
    <w:tblPr>
      <w:tblCellMar>
        <w:top w:w="0" w:type="dxa"/>
        <w:left w:w="115" w:type="dxa"/>
        <w:bottom w:w="0" w:type="dxa"/>
        <w:right w:w="115" w:type="dxa"/>
      </w:tblCellMar>
    </w:tblPr>
  </w:style>
  <w:style w:type="table" w:customStyle="1" w:styleId="21">
    <w:name w:val="_Style 16"/>
    <w:basedOn w:val="16"/>
    <w:qFormat/>
    <w:uiPriority w:val="0"/>
    <w:tblPr>
      <w:tblCellMar>
        <w:top w:w="0" w:type="dxa"/>
        <w:left w:w="115" w:type="dxa"/>
        <w:bottom w:w="0" w:type="dxa"/>
        <w:right w:w="115" w:type="dxa"/>
      </w:tblCellMar>
    </w:tblPr>
  </w:style>
  <w:style w:type="table" w:customStyle="1" w:styleId="22">
    <w:name w:val="_Style 17"/>
    <w:basedOn w:val="16"/>
    <w:qFormat/>
    <w:uiPriority w:val="0"/>
    <w:tblPr>
      <w:tblCellMar>
        <w:top w:w="0" w:type="dxa"/>
        <w:left w:w="115" w:type="dxa"/>
        <w:bottom w:w="0" w:type="dxa"/>
        <w:right w:w="115" w:type="dxa"/>
      </w:tblCellMar>
    </w:tblPr>
  </w:style>
  <w:style w:type="table" w:customStyle="1" w:styleId="23">
    <w:name w:val="_Style 18"/>
    <w:basedOn w:val="16"/>
    <w:qFormat/>
    <w:uiPriority w:val="0"/>
    <w:tblPr>
      <w:tblCellMar>
        <w:top w:w="0" w:type="dxa"/>
        <w:left w:w="115" w:type="dxa"/>
        <w:bottom w:w="0" w:type="dxa"/>
        <w:right w:w="115" w:type="dxa"/>
      </w:tblCellMar>
    </w:tblPr>
  </w:style>
  <w:style w:type="table" w:customStyle="1" w:styleId="24">
    <w:name w:val="_Style 19"/>
    <w:basedOn w:val="16"/>
    <w:qFormat/>
    <w:uiPriority w:val="0"/>
    <w:tblPr>
      <w:tblCellMar>
        <w:top w:w="0" w:type="dxa"/>
        <w:left w:w="115" w:type="dxa"/>
        <w:bottom w:w="0" w:type="dxa"/>
        <w:right w:w="115" w:type="dxa"/>
      </w:tblCellMar>
    </w:tblPr>
  </w:style>
  <w:style w:type="character" w:customStyle="1" w:styleId="25">
    <w:name w:val="Body Text Char"/>
    <w:basedOn w:val="8"/>
    <w:link w:val="10"/>
    <w:qFormat/>
    <w:uiPriority w:val="0"/>
    <w:rPr>
      <w:rFonts w:asciiTheme="minorHAnsi" w:hAnsiTheme="minorHAnsi" w:eastAsiaTheme="minorHAnsi" w:cstheme="minorBidi"/>
      <w:sz w:val="24"/>
      <w:szCs w:val="24"/>
      <w:lang w:val="en-US"/>
    </w:rPr>
  </w:style>
  <w:style w:type="paragraph" w:customStyle="1" w:styleId="26">
    <w:name w:val="First Paragraph"/>
    <w:basedOn w:val="10"/>
    <w:next w:val="10"/>
    <w:qFormat/>
    <w:uiPriority w:val="0"/>
  </w:style>
  <w:style w:type="paragraph" w:styleId="27">
    <w:name w:val="List Paragraph"/>
    <w:basedOn w:val="1"/>
    <w:qFormat/>
    <w:uiPriority w:val="34"/>
    <w:pPr>
      <w:suppressAutoHyphens/>
      <w:spacing w:after="200" w:line="276" w:lineRule="auto"/>
      <w:ind w:left="720"/>
    </w:pPr>
    <w:rPr>
      <w:rFonts w:ascii="Calibri" w:hAnsi="Calibri" w:cs="Calibri"/>
      <w:lang w:val="en-US" w:eastAsia="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22</Pages>
  <Words>7840</Words>
  <Characters>44688</Characters>
  <Lines>372</Lines>
  <Paragraphs>104</Paragraphs>
  <TotalTime>19</TotalTime>
  <ScaleCrop>false</ScaleCrop>
  <LinksUpToDate>false</LinksUpToDate>
  <CharactersWithSpaces>52424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2026-01-24T02:27:00Z</dcterms:created>
  <dc:creator>Admin</dc:creator>
  <cp:lastModifiedBy>Admin</cp:lastModifiedBy>
  <dcterms:modified xsi:type="dcterms:W3CDTF">2026-01-24T18:30:00Z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48A08073DCCB4CED91EAF6B000705558_12</vt:lpwstr>
  </property>
</Properties>
</file>